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ТЕЗИСЫ ДОКЛАДА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Всероссийская научная молодежная конференция школьников и студентов (ОЦ «Сириус»)</w:t>
      </w:r>
    </w:p>
    <w:p>
      <w:pPr>
        <w:spacing w:after="80"/>
        <w:jc w:val="both"/>
      </w:pPr>
      <w:r>
        <w:rPr>
          <w:b/>
        </w:rPr>
        <w:t>Секция: «Биофизика, физиология растений и агробиотехнологии»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ОПТИКО-ЭЛЕКТРОННЫЙ КОМПЛЕКС АКТИВНОЙ ДВУХВОЛНОВОЙ СПЕКТРОФОТОМЕТРИИ И ТЕРМОГРАФИИ ДЛЯ РАННЕЙ ИНДИКАЦИИ СТРЕССА РАСТЕНИЙ</w:t>
      </w:r>
    </w:p>
    <w:p>
      <w:pPr>
        <w:spacing w:after="80"/>
        <w:jc w:val="both"/>
      </w:pPr>
      <w:r>
        <w:rPr>
          <w:b/>
        </w:rPr>
        <w:t>Ковалева А. И.</w:t>
      </w:r>
      <w:r/>
      <w:r>
        <w:br/>
      </w:r>
      <w:r>
        <w:rPr>
          <w:i/>
        </w:rPr>
        <w:t>ГБОУ СОШ №282 Кировского района Санкт-Петербурга, 10 класс</w:t>
      </w:r>
      <w:r/>
      <w:r>
        <w:br/>
      </w:r>
      <w:r>
        <w:rPr>
          <w:i/>
        </w:rPr>
        <w:t>Email: v1m@mail.ru</w:t>
      </w:r>
      <w:r/>
      <w:r>
        <w:br/>
      </w:r>
      <w:r>
        <w:rPr>
          <w:i/>
        </w:rPr>
        <w:t>Научно-технический руководитель: Ковалев Иван Викторович</w:t>
      </w:r>
    </w:p>
    <w:p>
      <w:pPr>
        <w:spacing w:after="80"/>
        <w:jc w:val="both"/>
      </w:pPr>
      <w:r>
        <w:rPr>
          <w:b/>
        </w:rPr>
        <w:t>Введение</w:t>
      </w:r>
      <w:r>
        <w:t>. Раннее выявление дефицита влаги и засоления субстрата в закрытых агробиотехнологических системах (сити-фермы, фитотроны) имеет первостепенное значение для предотвращения потерь урожая. Традиционный визуальный осмотр констатирует стресс с опозданием на 48–72 ч, когда в тканях уже произошел плазмолиз клеток и фотоингибирование фотосистемы II. Почвенные емкостные датчики влажности не способны выявить осмотическую «физиологическую засуху» при солевом стрессе (влажность остается &gt;75%). Коммерческие спектрометры недоступны по стоимости (&gt;1.5 млн руб.) и непригодны для оперативной работы внутри стеллажей.</w:t>
      </w:r>
    </w:p>
    <w:p>
      <w:pPr>
        <w:spacing w:after="80"/>
        <w:jc w:val="both"/>
      </w:pPr>
      <w:r>
        <w:rPr>
          <w:b/>
        </w:rPr>
        <w:t>Цель работы</w:t>
      </w:r>
      <w:r>
        <w:t>: создание и экспериментальная апробация компактного автономного оптико-электронного комплекса спектрофотометрии и термографии для сверхранней (на 36–54 ч раньше макросимптомов) неинвазивной детекции водного и солевого стресса растений.</w:t>
      </w:r>
    </w:p>
    <w:p>
      <w:pPr>
        <w:spacing w:after="80"/>
        <w:jc w:val="both"/>
      </w:pPr>
      <w:r>
        <w:rPr>
          <w:b/>
        </w:rPr>
        <w:t>Материалы и методы</w:t>
      </w:r>
      <w:r>
        <w:t>. Комплекс включает одноплатный микрокомпьютер Orange Pi 4 Pro (8-ядерный SoC Allwinner A733, 4GB RAM, NVMe SSD, Armbian Linux 6.1) в герметичной распределительной коробке с выносом термогигрометра Sensirion SHT30 к листовому пологу и единым питанием от адаптера USB Type-C 5В 3А. Оптический блок на базе USB NoIR-камеры реализует последовательный 3-кадровый протокол стробирования (Фон $\to$ 660 нм Red solo $\to$ пауза $\to$ 850 нм NIR solo, 4 щелчка реле за цикл): $R_{\text{diff}} = \max(0, L_{\text{red}} - L_{\text{amb}})$, $NIR_{\text{diff}} = \max(0, L_{\text{nir}} - L_{\text{amb}})$. Комплекс оснащен тепловизором UNI-T UTi120S (NETD &lt; 60 мК) с OCR Tesseract и автономной точкой доступа Wi-Fi (</w:t>
      </w:r>
      <w:r>
        <w:rPr>
          <w:rFonts w:ascii="Consolas" w:hAnsi="Consolas"/>
          <w:color w:val="0F766E"/>
          <w:sz w:val="20"/>
        </w:rPr>
        <w:t>PlantStation</w:t>
      </w:r>
      <w:r>
        <w:t xml:space="preserve">, </w:t>
      </w:r>
      <w:r>
        <w:rPr>
          <w:rFonts w:ascii="Consolas" w:hAnsi="Consolas"/>
          <w:color w:val="0F766E"/>
          <w:sz w:val="20"/>
        </w:rPr>
        <w:t>192.168.4.1</w:t>
      </w:r>
      <w:r>
        <w:t>) для полевого управления.</w:t>
      </w:r>
    </w:p>
    <w:p>
      <w:pPr>
        <w:spacing w:after="80"/>
        <w:jc w:val="both"/>
      </w:pPr>
      <w:r>
        <w:t>Биологическая верификация проводилась на синхронно высаженных проростках гороха посевного (</w:t>
      </w:r>
      <w:r>
        <w:rPr>
          <w:i/>
        </w:rPr>
        <w:t>Pisum sativum L.</w:t>
      </w:r>
      <w:r>
        <w:t>, $n = 45$, 5 кассет $3 \times 3$): К1 — Контроль (оптимальный полив), К2 — Засоление (100 мМ NaCl в изолированном лотке-поддоне для исключения перекрестного дренажа), К3 — Превентивная регидратация (купирование по алерту станции до увядания), К4 — Традиционный визуальный контроль (полив при поникании листьев), К5 — Терминальная засуха (контроль гибели) и калибровочный стенд №0.</w:t>
      </w:r>
    </w:p>
    <w:p>
      <w:pPr>
        <w:spacing w:after="80"/>
        <w:jc w:val="both"/>
      </w:pPr>
      <w:r>
        <w:rPr>
          <w:b/>
        </w:rPr>
        <w:t>Результаты и обсуждение</w:t>
      </w:r>
      <w:r>
        <w:t>.</w:t>
        <w:br/>
        <w:t>1. На 2-е сутки (t = 40 ч) у растений стрессовых когорт зафиксировано статистически достоверное повышение температуры листьев относительно воздуха ($\Delta T = T_{\text{leaf}} - T_{\text{air}}$) до $+1.5 \dots +2.4$ °C при одновременном спаде вегетационного индекса NDVI с $0.741 \pm 0.012$ до $0.668 \pm 0.018$ ($p &lt; 0.001$, критерий Манна-Уитни).</w:t>
        <w:br/>
        <w:t xml:space="preserve">2. Визуальные макропризнаки стресса (потеря тургора, поникание верхушек) проявились лишь на 4-е сутки (t = 72–84 ч). Комплекс обеспечивает </w:t>
      </w:r>
      <w:r>
        <w:rPr>
          <w:b/>
        </w:rPr>
        <w:t>опережение визуальной индикации на 36–48 часов</w:t>
      </w:r>
      <w:r>
        <w:t>, открывая критическое «окно спасения» для своевременной компенсации стресса.</w:t>
        <w:br/>
        <w:t>3. Продемонстрирована четкая инструментальная дифференциация типов стресса: при засухе спад NDVI сопровождается падением гравиметрической массы кассеты ($r = -0.962$), тогда как при солевом стрессе в изолированном лотке масса и физическая влажность сохраняются высокими ($&gt;75\%$), но термический разогрев листа ($\Delta T &gt; +1.8$ °C) однозначно сигнализирует об осмотической блокировке водопоглощения.</w:t>
        <w:br/>
        <w:t>4. При сравнительной оценке стратегий купирования стресса доказано решающее преимущество ранней диагностики: превентивная регидратация по алерту станции обеспечивает репарацию $\kappa_{\text{rec}} = 98.2\% \pm 1.8\%$ (100% урожая сохранено), тогда как полив при визуальном увядании дает лишь $\kappa_{\text{rec}} = 54.1\% \pm 5.3\%$ из-за необратимого некроза мезофилла (потеря ~45% биомассы).</w:t>
      </w:r>
    </w:p>
    <w:p>
      <w:pPr>
        <w:spacing w:after="80"/>
        <w:jc w:val="both"/>
      </w:pPr>
      <w:r>
        <w:rPr>
          <w:b/>
        </w:rPr>
        <w:t>Заключение</w:t>
      </w:r>
      <w:r>
        <w:t>. Разработанный комплекс себестоимостью $\le 11\,850$ руб. превосходит существующие аналоги по автономности, быстродействию и доступности, обеспечивая надежное сохранение урожая культур закрытого грунта.</w:t>
      </w:r>
    </w:p>
    <w:p>
      <w:pPr>
        <w:spacing w:after="80"/>
        <w:jc w:val="both"/>
      </w:pPr>
      <w:r>
        <w:rPr>
          <w:b/>
        </w:rPr>
        <w:t>Литература</w:t>
      </w:r>
      <w:r>
        <w:t>:</w:t>
        <w:br/>
        <w:t>1. Медведев С. С. Физиология растений. — СПб.: Изд-во ОЦ «Сириус», 2012. — 512 с.</w:t>
        <w:br/>
        <w:t>2. Jones H. G. Use of infrared thermography for estimation of stomatal conductance in the field // J. Exp. Bot. — 1999. — Vol. 50. — P. 1047–1058.</w:t>
        <w:br/>
        <w:t>3. Peñuelas J. et al. The reflectance at the 680–730 nm region as a measure of plant water status // Int. J. Remote Sens. — 1993. — Vol. 14. — P. 1401–1411.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