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sz w:val="30"/>
          <w:szCs w:val="30"/>
        </w:rPr>
        <w:t xml:space="preserve">Manufacturing Sincerity: Reading List</w:t>
      </w:r>
    </w:p>
    <w:p>
      <w:pPr>
        <w:spacing w:after="40" w:before="0" w:line="276"/>
        <w:jc w:val="center"/>
      </w:pPr>
      <w:r>
        <w:rPr>
          <w:rFonts w:ascii="Times New Roman" w:cs="Times New Roman" w:eastAsia="Times New Roman" w:hAnsi="Times New Roman"/>
          <w:i/>
          <w:iCs/>
          <w:sz w:val="22"/>
          <w:szCs w:val="22"/>
        </w:rPr>
        <w:t xml:space="preserve">Authenticity Claims Across Internal and External Communication</w:t>
      </w:r>
    </w:p>
    <w:p>
      <w:pPr>
        <w:spacing w:after="240" w:before="0" w:line="276"/>
        <w:jc w:val="center"/>
      </w:pPr>
      <w:r>
        <w:rPr>
          <w:rFonts w:ascii="Times New Roman" w:cs="Times New Roman" w:eastAsia="Times New Roman" w:hAnsi="Times New Roman"/>
          <w:sz w:val="22"/>
          <w:szCs w:val="22"/>
        </w:rPr>
        <w:t xml:space="preserve">Literature review, Module 1 · MA Strategic Communication, Örebro University</w:t>
      </w:r>
    </w:p>
    <w:p>
      <w:pPr>
        <w:spacing w:after="60" w:before="0" w:line="276"/>
        <w:jc w:val="left"/>
      </w:pPr>
      <w:r>
        <w:rPr>
          <w:rFonts w:ascii="Times New Roman" w:cs="Times New Roman" w:eastAsia="Times New Roman" w:hAnsi="Times New Roman"/>
          <w:b/>
          <w:bCs/>
          <w:sz w:val="22"/>
          <w:szCs w:val="22"/>
        </w:rPr>
        <w:t xml:space="preserve">How to use this. </w:t>
      </w:r>
      <w:r>
        <w:rPr>
          <w:rFonts w:ascii="Times New Roman" w:cs="Times New Roman" w:eastAsia="Times New Roman" w:hAnsi="Times New Roman"/>
          <w:sz w:val="22"/>
          <w:szCs w:val="22"/>
        </w:rPr>
        <w:t xml:space="preserve">Twenty-two sources against a required minimum of twelve, grouped by where each sits in the review. Start with the six marked READ FIRST; they carry the argument. Bibliographic details were checked against publisher records, but page ranges and full author lists were not all confirmed — anything uncertain is flagged, and you should pull the record from the database before it goes in your reference list. Access everything through the Örebro library proxy; several are open access and the free link is given.</w:t>
      </w:r>
    </w:p>
    <w:p>
      <w:pPr>
        <w:spacing w:after="80" w:before="240" w:line="276"/>
      </w:pPr>
      <w:r>
        <w:rPr>
          <w:rFonts w:ascii="Times New Roman" w:cs="Times New Roman" w:eastAsia="Times New Roman" w:hAnsi="Times New Roman"/>
          <w:b/>
          <w:bCs/>
          <w:sz w:val="26"/>
          <w:szCs w:val="26"/>
        </w:rPr>
        <w:t xml:space="preserve">1. The reviews you are writing against</w:t>
      </w:r>
    </w:p>
    <w:p>
      <w:pPr>
        <w:spacing w:after="60" w:before="0" w:line="276"/>
        <w:jc w:val="left"/>
      </w:pPr>
      <w:r>
        <w:rPr>
          <w:rFonts w:ascii="Times New Roman" w:cs="Times New Roman" w:eastAsia="Times New Roman" w:hAnsi="Times New Roman"/>
          <w:sz w:val="22"/>
          <w:szCs w:val="22"/>
        </w:rPr>
        <w:t xml:space="preserve">Your introduction has to answer “are there existing reviews, and what does mine add?” These are the three. None of them does what you are doing, and the proposal says why.</w:t>
      </w:r>
    </w:p>
    <w:p>
      <w:pPr>
        <w:spacing w:after="20" w:before="0" w:line="276"/>
        <w:jc w:val="left"/>
      </w:pPr>
      <w:r>
        <w:rPr>
          <w:rFonts w:ascii="Times New Roman" w:cs="Times New Roman" w:eastAsia="Times New Roman" w:hAnsi="Times New Roman"/>
          <w:sz w:val="22"/>
          <w:szCs w:val="22"/>
        </w:rPr>
        <w:t xml:space="preserve">Lehman, D. W., O’Connor, K., Kovács, B., &amp; Newman, G. E. (2019). Authenticity. Academy of Management Annals, 13(1), 1–42.   [READ FIRST]</w:t>
      </w:r>
    </w:p>
    <w:p>
      <w:pPr>
        <w:spacing w:after="20" w:before="0" w:line="276"/>
        <w:ind w:left="340"/>
        <w:jc w:val="left"/>
      </w:pPr>
      <w:r>
        <w:rPr>
          <w:rFonts w:ascii="Times New Roman" w:cs="Times New Roman" w:eastAsia="Times New Roman" w:hAnsi="Times New Roman"/>
          <w:i/>
          <w:iCs/>
          <w:sz w:val="22"/>
          <w:szCs w:val="22"/>
        </w:rPr>
        <w:t xml:space="preserve">https://journals.aom.org/doi/abs/10.5465/annals.2017.0047</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Authenticity means different things depending on three questions: what is the reference point, what is being judged, and who is judging. They call this the 3C view. A 42-page integrative review.</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backbone of your “what is already known” paragraph, and a ready-made vocabulary for your organising principle. Your gap: it is management, not communication.</w:t>
      </w:r>
    </w:p>
    <w:p>
      <w:pPr>
        <w:spacing w:after="120" w:before="0" w:line="276"/>
        <w:ind w:left="340"/>
        <w:jc w:val="left"/>
      </w:pPr>
      <w:r>
        <w:rPr>
          <w:rFonts w:ascii="Times New Roman" w:cs="Times New Roman" w:eastAsia="Times New Roman" w:hAnsi="Times New Roman"/>
          <w:b/>
          <w:bCs/>
          <w:sz w:val="22"/>
          <w:szCs w:val="22"/>
        </w:rPr>
        <w:t xml:space="preserve">Free PDF: </w:t>
      </w:r>
      <w:r>
        <w:rPr>
          <w:rFonts w:ascii="Times New Roman" w:cs="Times New Roman" w:eastAsia="Times New Roman" w:hAnsi="Times New Roman"/>
          <w:i/>
          <w:iCs/>
          <w:sz w:val="22"/>
          <w:szCs w:val="22"/>
        </w:rPr>
        <w:t xml:space="preserve">https://spinup-000d1a-wp-offload-media.s3.amazonaws.com/faculty/wp-content/uploads/sites/72/2020/02/Annals-Authenticity.pdf</w:t>
      </w:r>
    </w:p>
    <w:p>
      <w:pPr>
        <w:spacing w:after="20" w:before="0" w:line="276"/>
        <w:jc w:val="left"/>
      </w:pPr>
      <w:r>
        <w:rPr>
          <w:rFonts w:ascii="Times New Roman" w:cs="Times New Roman" w:eastAsia="Times New Roman" w:hAnsi="Times New Roman"/>
          <w:sz w:val="22"/>
          <w:szCs w:val="22"/>
        </w:rPr>
        <w:t xml:space="preserve">Molleda, J.-C. (2010). Authenticity and the construct’s dimensions in public relations and communication research. Journal of Communication Management, 14(3), 223–236.   [READ FIRST]</w:t>
      </w:r>
    </w:p>
    <w:p>
      <w:pPr>
        <w:spacing w:after="20" w:before="0" w:line="276"/>
        <w:ind w:left="340"/>
        <w:jc w:val="left"/>
      </w:pPr>
      <w:r>
        <w:rPr>
          <w:rFonts w:ascii="Times New Roman" w:cs="Times New Roman" w:eastAsia="Times New Roman" w:hAnsi="Times New Roman"/>
          <w:i/>
          <w:iCs/>
          <w:sz w:val="22"/>
          <w:szCs w:val="22"/>
        </w:rPr>
        <w:t xml:space="preserve">https://www.emerald.com/jcom/article-abstract/14/3/223/435169/</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Reviews authenticity across advertising, marketing and PR, then proposes an index for measuring the perceived authenticity of organisational messages and actions.</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closest existing review to yours, and the clearest contrast: it treats authenticity as a property to be measured. Your review treats it as a relation that can be contested. Say so explicitly.</w:t>
      </w:r>
    </w:p>
    <w:p>
      <w:pPr>
        <w:spacing w:after="20" w:before="0" w:line="276"/>
        <w:jc w:val="left"/>
      </w:pPr>
      <w:r>
        <w:rPr>
          <w:rFonts w:ascii="Times New Roman" w:cs="Times New Roman" w:eastAsia="Times New Roman" w:hAnsi="Times New Roman"/>
          <w:sz w:val="22"/>
          <w:szCs w:val="22"/>
        </w:rPr>
        <w:t xml:space="preserve">Li, X., Lim, M.-F., Ramlee, A. N. A., &amp; Chekima, B. (2024). Brand authenticity: A 21-year bibliometric review and future outlook. SAGE Open.</w:t>
      </w:r>
    </w:p>
    <w:p>
      <w:pPr>
        <w:spacing w:after="20" w:before="0" w:line="276"/>
        <w:ind w:left="340"/>
        <w:jc w:val="left"/>
      </w:pPr>
      <w:r>
        <w:rPr>
          <w:rFonts w:ascii="Times New Roman" w:cs="Times New Roman" w:eastAsia="Times New Roman" w:hAnsi="Times New Roman"/>
          <w:i/>
          <w:iCs/>
          <w:sz w:val="22"/>
          <w:szCs w:val="22"/>
        </w:rPr>
        <w:t xml:space="preserve">https://journals.sagepub.com/doi/10.1177/21582440241268847</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Maps two decades of brand authenticity research bibliometrically and sets out where the field is heading.</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Shows the marketing side of the field and its blind spot: the corpus is consumer-facing and leaves out critical organisational work. Useful for one paragraph, not more.</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Volume and article number not confirmed.</w:t>
      </w:r>
    </w:p>
    <w:p>
      <w:pPr>
        <w:spacing w:after="20" w:before="0" w:line="276"/>
        <w:jc w:val="left"/>
      </w:pPr>
      <w:r>
        <w:rPr>
          <w:rFonts w:ascii="Times New Roman" w:cs="Times New Roman" w:eastAsia="Times New Roman" w:hAnsi="Times New Roman"/>
          <w:sz w:val="22"/>
          <w:szCs w:val="22"/>
        </w:rPr>
        <w:t xml:space="preserve">Christensen, L. T., &amp; Cornelissen, J. (2011). Bridging corporate and organizational communication: Review, development and a look to the future. Management Communication Quarterly, 25(3), 383–414.   [READ FIRST]</w:t>
      </w:r>
    </w:p>
    <w:p>
      <w:pPr>
        <w:spacing w:after="20" w:before="0" w:line="276"/>
        <w:ind w:left="340"/>
        <w:jc w:val="left"/>
      </w:pPr>
      <w:r>
        <w:rPr>
          <w:rFonts w:ascii="Times New Roman" w:cs="Times New Roman" w:eastAsia="Times New Roman" w:hAnsi="Times New Roman"/>
          <w:i/>
          <w:iCs/>
          <w:sz w:val="22"/>
          <w:szCs w:val="22"/>
        </w:rPr>
        <w:t xml:space="preserve">https://journals.sagepub.com/doi/abs/10.1177/0893318910390194</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Joins two fields that had grown apart: corporate communication, which looks outward at markets and publics, and organizational communication, which looks inward at employees and culture. It opens with a critical discussion of the objective of speaking with one voice, and proposes polyphony — many voices inside one organisation — as an alternative to control-based approaches to integrated communication.</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theoretical spine of your review, not a foil. They criticise the coherence ideal your paradox depends on, and they connect integration to control, the same move Fleming and Sturdy and Müller make empirically. Your gap is sharper than it looked: this paper builds the bridge between inside and outside without ever naming authenticity as what crosses it.</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You have the full text. Verified in the article itself: polyphony is argued at length, the coherence ideal is criticised directly, and the word authenticity never appears once in 32 pages. Quote it with confidence.</w:t>
      </w:r>
    </w:p>
    <w:p>
      <w:pPr>
        <w:spacing w:after="20" w:before="0" w:line="276"/>
        <w:jc w:val="left"/>
      </w:pPr>
      <w:r>
        <w:rPr>
          <w:rFonts w:ascii="Times New Roman" w:cs="Times New Roman" w:eastAsia="Times New Roman" w:hAnsi="Times New Roman"/>
          <w:sz w:val="22"/>
          <w:szCs w:val="22"/>
        </w:rPr>
        <w:t xml:space="preserve">Cornelissen, J. P., Christensen, L. T., &amp; Kinuthia, K. (2012). Corporate brands and identity: Developing stronger theory and a call for shifting the debate. European Journal of Marketing, 46(7–8), 1093–1102.   [READ FIRST]</w:t>
      </w:r>
    </w:p>
    <w:p>
      <w:pPr>
        <w:spacing w:after="20" w:before="0" w:line="276"/>
        <w:ind w:left="340"/>
        <w:jc w:val="left"/>
      </w:pPr>
      <w:r>
        <w:rPr>
          <w:rFonts w:ascii="Times New Roman" w:cs="Times New Roman" w:eastAsia="Times New Roman" w:hAnsi="Times New Roman"/>
          <w:i/>
          <w:iCs/>
          <w:sz w:val="22"/>
          <w:szCs w:val="22"/>
        </w:rPr>
        <w:t xml:space="preserve">https://www.emerald.com/insight/content/doi/10.1108/03090561211230214/full/html</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Critiques alignment models of corporate branding and identity, and argues for interpretive alternatives that do not rest on conduit models of communication or on assumptions of alignment and consistency.</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Closer to your question than the 2011 paper, because it attacks the specific assumption that an identity claim can be sent out by management and received intact. Read the pair together: 2011 for the two fields, 2012 for identity and branding.</w:t>
      </w:r>
    </w:p>
    <w:p>
      <w:pPr>
        <w:spacing w:after="20" w:before="0" w:line="276"/>
        <w:jc w:val="left"/>
      </w:pPr>
      <w:r>
        <w:rPr>
          <w:rFonts w:ascii="Times New Roman" w:cs="Times New Roman" w:eastAsia="Times New Roman" w:hAnsi="Times New Roman"/>
          <w:sz w:val="22"/>
          <w:szCs w:val="22"/>
        </w:rPr>
        <w:t xml:space="preserve">Employees as a second audience: The effect of external communication on internal brand management outcomes (2018). Journal of Brand Management.</w:t>
      </w:r>
    </w:p>
    <w:p>
      <w:pPr>
        <w:spacing w:after="20" w:before="0" w:line="276"/>
        <w:ind w:left="340"/>
        <w:jc w:val="left"/>
      </w:pPr>
      <w:r>
        <w:rPr>
          <w:rFonts w:ascii="Times New Roman" w:cs="Times New Roman" w:eastAsia="Times New Roman" w:hAnsi="Times New Roman"/>
          <w:i/>
          <w:iCs/>
          <w:sz w:val="22"/>
          <w:szCs w:val="22"/>
        </w:rPr>
        <w:t xml:space="preserve">https://link.springer.com/article/10.1057/s41262-018-0135-z</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Employees are an audience for their employer’s external communication, not only its producers. Where external messages match internal communication and actual practice, employees understand the brand better; where they do not, the effect weakens.</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Your mechanism, already tested. Not a review, so it does not compete with your gap — it is evidence that the question you are asking is one researchers take seriously.</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Authors and page range not confirmed.</w:t>
      </w:r>
    </w:p>
    <w:p>
      <w:pPr>
        <w:spacing w:after="80" w:before="240" w:line="276"/>
      </w:pPr>
      <w:r>
        <w:rPr>
          <w:rFonts w:ascii="Times New Roman" w:cs="Times New Roman" w:eastAsia="Times New Roman" w:hAnsi="Times New Roman"/>
          <w:b/>
          <w:bCs/>
          <w:sz w:val="26"/>
          <w:szCs w:val="26"/>
        </w:rPr>
        <w:t xml:space="preserve">2. The four strands (your results section)</w:t>
      </w:r>
    </w:p>
    <w:p>
      <w:pPr>
        <w:spacing w:after="60" w:before="200" w:line="276"/>
      </w:pPr>
      <w:r>
        <w:rPr>
          <w:rFonts w:ascii="Times New Roman" w:cs="Times New Roman" w:eastAsia="Times New Roman" w:hAnsi="Times New Roman"/>
          <w:b/>
          <w:bCs/>
          <w:sz w:val="22"/>
          <w:szCs w:val="22"/>
        </w:rPr>
        <w:t xml:space="preserve">Strand 1 — Authenticity as a property of the organisation</w:t>
      </w:r>
    </w:p>
    <w:p>
      <w:pPr>
        <w:spacing w:after="60" w:before="0" w:line="276"/>
        <w:jc w:val="left"/>
      </w:pPr>
      <w:r>
        <w:rPr>
          <w:rFonts w:ascii="Times New Roman" w:cs="Times New Roman" w:eastAsia="Times New Roman" w:hAnsi="Times New Roman"/>
          <w:sz w:val="22"/>
          <w:szCs w:val="22"/>
        </w:rPr>
        <w:t xml:space="preserve">The essentialist position: an organisation is authentic when what it says matches its heritage, origins and stated values. This strand treats your paradox as a solvable consistency problem.</w:t>
      </w:r>
    </w:p>
    <w:p>
      <w:pPr>
        <w:spacing w:after="20" w:before="0" w:line="276"/>
        <w:jc w:val="left"/>
      </w:pPr>
      <w:r>
        <w:rPr>
          <w:rFonts w:ascii="Times New Roman" w:cs="Times New Roman" w:eastAsia="Times New Roman" w:hAnsi="Times New Roman"/>
          <w:sz w:val="22"/>
          <w:szCs w:val="22"/>
        </w:rPr>
        <w:t xml:space="preserve">Napoli, J., Dickinson, S. J., Beverland, M. B., &amp; Farrelly, F. (2014). Measuring consumer-based brand authenticity. Journal of Business Research.</w:t>
      </w:r>
    </w:p>
    <w:p>
      <w:pPr>
        <w:spacing w:after="20" w:before="0" w:line="276"/>
        <w:ind w:left="340"/>
        <w:jc w:val="left"/>
      </w:pPr>
      <w:r>
        <w:rPr>
          <w:rFonts w:ascii="Times New Roman" w:cs="Times New Roman" w:eastAsia="Times New Roman" w:hAnsi="Times New Roman"/>
          <w:i/>
          <w:iCs/>
          <w:sz w:val="22"/>
          <w:szCs w:val="22"/>
        </w:rPr>
        <w:t xml:space="preserve">https://www.researchgate.net/publication/260609203_Measuring_consumer-based_brand_authenticity</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Builds brand authenticity from three components: commitment to quality, sincerity, and heritage.</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A clean example of the essentialist logic. One or two paragraphs; do not survey this literature in depth.</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Author order, volume and pages need confirming.</w:t>
      </w:r>
    </w:p>
    <w:p>
      <w:pPr>
        <w:spacing w:after="60" w:before="200" w:line="276"/>
      </w:pPr>
      <w:r>
        <w:rPr>
          <w:rFonts w:ascii="Times New Roman" w:cs="Times New Roman" w:eastAsia="Times New Roman" w:hAnsi="Times New Roman"/>
          <w:b/>
          <w:bCs/>
          <w:sz w:val="22"/>
          <w:szCs w:val="22"/>
        </w:rPr>
        <w:t xml:space="preserve">Strand 2 — Authenticity as a judgement made by audiences</w:t>
      </w:r>
    </w:p>
    <w:p>
      <w:pPr>
        <w:spacing w:after="60" w:before="0" w:line="276"/>
        <w:jc w:val="left"/>
      </w:pPr>
      <w:r>
        <w:rPr>
          <w:rFonts w:ascii="Times New Roman" w:cs="Times New Roman" w:eastAsia="Times New Roman" w:hAnsi="Times New Roman"/>
          <w:sz w:val="22"/>
          <w:szCs w:val="22"/>
        </w:rPr>
        <w:t xml:space="preserve">The receiver-side position: authenticity is not in the object, it is attributed by those perceiving it. Also treats the paradox as manageable — get the signals right and the attribution follows.</w:t>
      </w:r>
    </w:p>
    <w:p>
      <w:pPr>
        <w:spacing w:after="20" w:before="0" w:line="276"/>
        <w:jc w:val="left"/>
      </w:pPr>
      <w:r>
        <w:rPr>
          <w:rFonts w:ascii="Times New Roman" w:cs="Times New Roman" w:eastAsia="Times New Roman" w:hAnsi="Times New Roman"/>
          <w:sz w:val="22"/>
          <w:szCs w:val="22"/>
        </w:rPr>
        <w:t xml:space="preserve">Morhart, F., Malär, L., Guèvremont, A., Girardin, F., &amp; Grohmann, B. (2015). Brand authenticity: An integrative framework and measurement scale. Journal of Consumer Psychology, 25(2), 200–218.</w:t>
      </w:r>
    </w:p>
    <w:p>
      <w:pPr>
        <w:spacing w:after="20" w:before="0" w:line="276"/>
        <w:ind w:left="340"/>
        <w:jc w:val="left"/>
      </w:pPr>
      <w:r>
        <w:rPr>
          <w:rFonts w:ascii="Times New Roman" w:cs="Times New Roman" w:eastAsia="Times New Roman" w:hAnsi="Times New Roman"/>
          <w:i/>
          <w:iCs/>
          <w:sz w:val="22"/>
          <w:szCs w:val="22"/>
        </w:rPr>
        <w:t xml:space="preserve">https://myscp.onlinelibrary.wiley.com/doi/abs/10.1016/j.jcps.2014.11.006</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Perceived brand authenticity has four dimensions: credibility, integrity, symbolism and continuity. Validated across brands and cultures.</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standard reference for the measurement approach. Pair it with Molleda to show how the field tried to operationalise a contested concept.</w:t>
      </w:r>
    </w:p>
    <w:p>
      <w:pPr>
        <w:spacing w:after="20" w:before="0" w:line="276"/>
        <w:ind w:left="340"/>
        <w:jc w:val="left"/>
      </w:pPr>
      <w:r>
        <w:rPr>
          <w:rFonts w:ascii="Times New Roman" w:cs="Times New Roman" w:eastAsia="Times New Roman" w:hAnsi="Times New Roman"/>
          <w:b/>
          <w:bCs/>
          <w:sz w:val="22"/>
          <w:szCs w:val="22"/>
        </w:rPr>
        <w:t xml:space="preserve">Free PDF: </w:t>
      </w:r>
      <w:r>
        <w:rPr>
          <w:rFonts w:ascii="Times New Roman" w:cs="Times New Roman" w:eastAsia="Times New Roman" w:hAnsi="Times New Roman"/>
          <w:i/>
          <w:iCs/>
          <w:sz w:val="22"/>
          <w:szCs w:val="22"/>
        </w:rPr>
        <w:t xml:space="preserve">https://www2.novasbe.unl.pt/Portals/0/Research/documents/lucia.pdf</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Confirm the full author list and page range.</w:t>
      </w:r>
    </w:p>
    <w:p>
      <w:pPr>
        <w:spacing w:after="60" w:before="200" w:line="276"/>
      </w:pPr>
      <w:r>
        <w:rPr>
          <w:rFonts w:ascii="Times New Roman" w:cs="Times New Roman" w:eastAsia="Times New Roman" w:hAnsi="Times New Roman"/>
          <w:b/>
          <w:bCs/>
          <w:sz w:val="22"/>
          <w:szCs w:val="22"/>
        </w:rPr>
        <w:t xml:space="preserve">Strand 3 — Authenticity as something produced in communication</w:t>
      </w:r>
    </w:p>
    <w:p>
      <w:pPr>
        <w:spacing w:after="60" w:before="0" w:line="276"/>
        <w:jc w:val="left"/>
      </w:pPr>
      <w:r>
        <w:rPr>
          <w:rFonts w:ascii="Times New Roman" w:cs="Times New Roman" w:eastAsia="Times New Roman" w:hAnsi="Times New Roman"/>
          <w:sz w:val="22"/>
          <w:szCs w:val="22"/>
        </w:rPr>
        <w:t xml:space="preserve">The performative position, and the pivot of your review: authenticity is not found, it is made — in stories, images and talk. This is where the internal/external axis starts to matter.</w:t>
      </w:r>
    </w:p>
    <w:p>
      <w:pPr>
        <w:spacing w:after="20" w:before="0" w:line="276"/>
        <w:jc w:val="left"/>
      </w:pPr>
      <w:r>
        <w:rPr>
          <w:rFonts w:ascii="Times New Roman" w:cs="Times New Roman" w:eastAsia="Times New Roman" w:hAnsi="Times New Roman"/>
          <w:sz w:val="22"/>
          <w:szCs w:val="22"/>
        </w:rPr>
        <w:t xml:space="preserve">Christensen, L. T., Morsing, M., &amp; Thyssen, O. (2013). CSR as aspirational talk. Organization, 20(3).   [READ FIRST]</w:t>
      </w:r>
    </w:p>
    <w:p>
      <w:pPr>
        <w:spacing w:after="20" w:before="0" w:line="276"/>
        <w:ind w:left="340"/>
        <w:jc w:val="left"/>
      </w:pPr>
      <w:r>
        <w:rPr>
          <w:rFonts w:ascii="Times New Roman" w:cs="Times New Roman" w:eastAsia="Times New Roman" w:hAnsi="Times New Roman"/>
          <w:i/>
          <w:iCs/>
          <w:sz w:val="22"/>
          <w:szCs w:val="22"/>
        </w:rPr>
        <w:t xml:space="preserve">https://journals.sagepub.com/doi/10.1177/1350508413478310</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The gap between what organisations say and what they do is not necessarily a failure. Aspirational talk can pull an organisation towards its stated ideals. Communication is performative, not merely descriptive.</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strongest counter-argument to your own paradox, and you must engage it. If talk can produce the reality it describes, then strategic authenticity is not automatically a contradiction. Your review is better for taking this seriously than for dismissing it.</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Confirm page range.</w:t>
      </w:r>
    </w:p>
    <w:p>
      <w:pPr>
        <w:spacing w:after="20" w:before="0" w:line="276"/>
        <w:jc w:val="left"/>
      </w:pPr>
      <w:r>
        <w:rPr>
          <w:rFonts w:ascii="Times New Roman" w:cs="Times New Roman" w:eastAsia="Times New Roman" w:hAnsi="Times New Roman"/>
          <w:sz w:val="22"/>
          <w:szCs w:val="22"/>
        </w:rPr>
        <w:t xml:space="preserve">Christensen, L. T., Morsing, M., &amp; Thyssen, O. Timely hypocrisy? Hypocrisy temporalities in CSR communication. Journal of Business Research.</w:t>
      </w:r>
    </w:p>
    <w:p>
      <w:pPr>
        <w:spacing w:after="20" w:before="0" w:line="276"/>
        <w:ind w:left="340"/>
        <w:jc w:val="left"/>
      </w:pPr>
      <w:r>
        <w:rPr>
          <w:rFonts w:ascii="Times New Roman" w:cs="Times New Roman" w:eastAsia="Times New Roman" w:hAnsi="Times New Roman"/>
          <w:i/>
          <w:iCs/>
          <w:sz w:val="22"/>
          <w:szCs w:val="22"/>
        </w:rPr>
        <w:t xml:space="preserve">https://www.sciencedirect.com/science/article/pii/S0148296319304370</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Four temporal modes of organisational hypocrisy — aspiration, deferment, evasion and re-narration — each with different consequences.</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Gives you precise vocabulary for distinguishing a promise not yet kept from a lie. Directly useful when the internal and external stories diverge.</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Year not confirmed (approximately 2020); check volume and pages.</w:t>
      </w:r>
    </w:p>
    <w:p>
      <w:pPr>
        <w:spacing w:after="20" w:before="0" w:line="276"/>
        <w:jc w:val="left"/>
      </w:pPr>
      <w:r>
        <w:rPr>
          <w:rFonts w:ascii="Times New Roman" w:cs="Times New Roman" w:eastAsia="Times New Roman" w:hAnsi="Times New Roman"/>
          <w:sz w:val="22"/>
          <w:szCs w:val="22"/>
        </w:rPr>
        <w:t xml:space="preserve">Chen, A., &amp; Eriksson, G. (2019). The making of healthy and moral snacks: A multimodal critical discourse analysis of corporate storytelling. Discourse, Context &amp; Media, 32.   [COURSE LITERATURE]</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Analyses how a company builds a moral, healthy identity through the multimodal design of its storytelling.</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Your method exemplar. Göran Eriksson teaches on this module and co-wrote it, which matters if you take this into a thesis in the spring. Shows what close analysis of an authenticity claim looks like.</w:t>
      </w:r>
    </w:p>
    <w:p>
      <w:pPr>
        <w:spacing w:after="20" w:before="0" w:line="276"/>
        <w:jc w:val="left"/>
      </w:pPr>
      <w:r>
        <w:rPr>
          <w:rFonts w:ascii="Times New Roman" w:cs="Times New Roman" w:eastAsia="Times New Roman" w:hAnsi="Times New Roman"/>
          <w:sz w:val="22"/>
          <w:szCs w:val="22"/>
        </w:rPr>
        <w:t xml:space="preserve">Banet-Weiser, S. (2012). Authentic™: The Politics of Ambivalence in a Brand Culture. New York: NYU Press.   [COURSE LITERATURE]</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Authenticity has itself become a brand strategy. The supposedly non-commercial and the commercial have merged in contemporary brand culture.</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cultural framing for your introduction. Available as an e-book through the university library. Read the introduction and one case chapter; you do not need the whole book.</w:t>
      </w:r>
    </w:p>
    <w:p>
      <w:pPr>
        <w:spacing w:after="60" w:before="200" w:line="276"/>
      </w:pPr>
      <w:r>
        <w:rPr>
          <w:rFonts w:ascii="Times New Roman" w:cs="Times New Roman" w:eastAsia="Times New Roman" w:hAnsi="Times New Roman"/>
          <w:b/>
          <w:bCs/>
          <w:sz w:val="22"/>
          <w:szCs w:val="22"/>
        </w:rPr>
        <w:t xml:space="preserve">Strand 4 — Authenticity as organisational control</w:t>
      </w:r>
    </w:p>
    <w:p>
      <w:pPr>
        <w:spacing w:after="60" w:before="0" w:line="276"/>
        <w:jc w:val="left"/>
      </w:pPr>
      <w:r>
        <w:rPr>
          <w:rFonts w:ascii="Times New Roman" w:cs="Times New Roman" w:eastAsia="Times New Roman" w:hAnsi="Times New Roman"/>
          <w:sz w:val="22"/>
          <w:szCs w:val="22"/>
        </w:rPr>
        <w:t xml:space="preserve">The critical position, and where your central question lives. Here the paradox stops being a problem to solve and becomes the point.</w:t>
      </w:r>
    </w:p>
    <w:p>
      <w:pPr>
        <w:spacing w:after="20" w:before="0" w:line="276"/>
        <w:jc w:val="left"/>
      </w:pPr>
      <w:r>
        <w:rPr>
          <w:rFonts w:ascii="Times New Roman" w:cs="Times New Roman" w:eastAsia="Times New Roman" w:hAnsi="Times New Roman"/>
          <w:sz w:val="22"/>
          <w:szCs w:val="22"/>
        </w:rPr>
        <w:t xml:space="preserve">Müller, M. (2017). “Brand-centred control”: A study of internal branding and normative control. Organization Studies, 38(7).   [READ FIRST]</w:t>
      </w:r>
    </w:p>
    <w:p>
      <w:pPr>
        <w:spacing w:after="20" w:before="0" w:line="276"/>
        <w:ind w:left="340"/>
        <w:jc w:val="left"/>
      </w:pPr>
      <w:r>
        <w:rPr>
          <w:rFonts w:ascii="Times New Roman" w:cs="Times New Roman" w:eastAsia="Times New Roman" w:hAnsi="Times New Roman"/>
          <w:i/>
          <w:iCs/>
          <w:sz w:val="22"/>
          <w:szCs w:val="22"/>
        </w:rPr>
        <w:t xml:space="preserve">https://journals.sagepub.com/doi/10.1177/0170840616663238</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Internal branding extends culture management into a form of normative control. Crucially, brand-centred control recruits an external audience — customers, fans, the public — as an additional source of discipline over employees, blurring work and private life.</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single most important source for your review. It is the empirical demonstration of your driving question: the external claim is produced internally, and the external audience is then turned back on employees. Build your fourth strand around this.</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Confirm page range.</w:t>
      </w:r>
    </w:p>
    <w:p>
      <w:pPr>
        <w:spacing w:after="20" w:before="0" w:line="276"/>
        <w:jc w:val="left"/>
      </w:pPr>
      <w:r>
        <w:rPr>
          <w:rFonts w:ascii="Times New Roman" w:cs="Times New Roman" w:eastAsia="Times New Roman" w:hAnsi="Times New Roman"/>
          <w:sz w:val="22"/>
          <w:szCs w:val="22"/>
        </w:rPr>
        <w:t xml:space="preserve">Fleming, P., &amp; Sturdy, A. (2009). “Just be yourself!”: Towards neo-normative control in organisations? Employee Relations, 31(6), 569–583.   [READ FIRST]</w:t>
      </w:r>
    </w:p>
    <w:p>
      <w:pPr>
        <w:spacing w:after="20" w:before="0" w:line="276"/>
        <w:ind w:left="340"/>
        <w:jc w:val="left"/>
      </w:pPr>
      <w:r>
        <w:rPr>
          <w:rFonts w:ascii="Times New Roman" w:cs="Times New Roman" w:eastAsia="Times New Roman" w:hAnsi="Times New Roman"/>
          <w:i/>
          <w:iCs/>
          <w:sz w:val="22"/>
          <w:szCs w:val="22"/>
        </w:rPr>
        <w:t xml:space="preserve">https://www.emerald.com/insight/content/doi/10.1108/01425450910991730/full/html</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Based on a call-centre study: telling employees to “be themselves” looks liberating but captures their personality, sociality and non-work selves as emotional labour. Control by authenticity rather than despite it.</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The sharpest statement of the critical position, and your ethics section writes itself from it. One caution: this sits in an HR journal. Frame it as critical organisation theory, not HR practice, so your review stays inside communication.</w:t>
      </w:r>
    </w:p>
    <w:p>
      <w:pPr>
        <w:spacing w:after="20" w:before="0" w:line="276"/>
        <w:jc w:val="left"/>
      </w:pPr>
      <w:r>
        <w:rPr>
          <w:rFonts w:ascii="Times New Roman" w:cs="Times New Roman" w:eastAsia="Times New Roman" w:hAnsi="Times New Roman"/>
          <w:sz w:val="22"/>
          <w:szCs w:val="22"/>
        </w:rPr>
        <w:t xml:space="preserve">Alvesson, M., &amp; Einola, K. (2019). Warning for excessive positivity: Authentic leadership and other traps in leadership studies. The Leadership Quarterly, 30(4), 383–395.</w:t>
      </w:r>
    </w:p>
    <w:p>
      <w:pPr>
        <w:spacing w:after="20" w:before="0" w:line="276"/>
        <w:ind w:left="340"/>
        <w:jc w:val="left"/>
      </w:pPr>
      <w:r>
        <w:rPr>
          <w:rFonts w:ascii="Times New Roman" w:cs="Times New Roman" w:eastAsia="Times New Roman" w:hAnsi="Times New Roman"/>
          <w:i/>
          <w:iCs/>
          <w:sz w:val="22"/>
          <w:szCs w:val="22"/>
        </w:rPr>
        <w:t xml:space="preserve">https://www.semanticscholar.org/paper/f1f3ef22194d775a3c27e68f699658acb9aeaee8</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Authentic leadership theory rests on shaky philosophical foundations, circular reasoning and weak measurement.</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Lets you handle authentic leadership in one honest paragraph and exclude it with justification, rather than pretending the literature does not exist. Connects to Fairhurst &amp; Connaughton on your reading list.</w:t>
      </w:r>
    </w:p>
    <w:p>
      <w:pPr>
        <w:spacing w:after="20" w:before="0" w:line="276"/>
        <w:jc w:val="left"/>
      </w:pPr>
      <w:r>
        <w:rPr>
          <w:rFonts w:ascii="Times New Roman" w:cs="Times New Roman" w:eastAsia="Times New Roman" w:hAnsi="Times New Roman"/>
          <w:sz w:val="22"/>
          <w:szCs w:val="22"/>
        </w:rPr>
        <w:t xml:space="preserve">Einola, K., &amp; Alvesson, M. (2021). The perils of authentic leadership theory. Leadership.</w:t>
      </w:r>
    </w:p>
    <w:p>
      <w:pPr>
        <w:spacing w:after="20" w:before="0" w:line="276"/>
        <w:ind w:left="340"/>
        <w:jc w:val="left"/>
      </w:pPr>
      <w:r>
        <w:rPr>
          <w:rFonts w:ascii="Times New Roman" w:cs="Times New Roman" w:eastAsia="Times New Roman" w:hAnsi="Times New Roman"/>
          <w:i/>
          <w:iCs/>
          <w:sz w:val="22"/>
          <w:szCs w:val="22"/>
        </w:rPr>
        <w:t xml:space="preserve">https://journals.sagepub.com/doi/10.1177/17427150211004059</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Extends the critique: the theory is not harmlessly wrong but actively misleading.</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Optional. Only if you want a second voice on the leadership exclusion.</w:t>
      </w:r>
    </w:p>
    <w:p>
      <w:pPr>
        <w:spacing w:after="120" w:before="0" w:line="276"/>
        <w:ind w:left="340"/>
        <w:jc w:val="left"/>
      </w:pPr>
      <w:r>
        <w:rPr>
          <w:rFonts w:ascii="Times New Roman" w:cs="Times New Roman" w:eastAsia="Times New Roman" w:hAnsi="Times New Roman"/>
          <w:b/>
          <w:bCs/>
          <w:sz w:val="22"/>
          <w:szCs w:val="22"/>
        </w:rPr>
        <w:t xml:space="preserve">Free PDF: </w:t>
      </w:r>
      <w:r>
        <w:rPr>
          <w:rFonts w:ascii="Times New Roman" w:cs="Times New Roman" w:eastAsia="Times New Roman" w:hAnsi="Times New Roman"/>
          <w:i/>
          <w:iCs/>
          <w:sz w:val="22"/>
          <w:szCs w:val="22"/>
        </w:rPr>
        <w:t xml:space="preserve">https://openaccess.city.ac.uk/id/eprint/34150/1/einola-alvesson-2021-the-perils-of-authentic-leadership-theory.pdf</w:t>
      </w:r>
    </w:p>
    <w:p>
      <w:pPr>
        <w:spacing w:after="80" w:before="240" w:line="276"/>
      </w:pPr>
      <w:r>
        <w:rPr>
          <w:rFonts w:ascii="Times New Roman" w:cs="Times New Roman" w:eastAsia="Times New Roman" w:hAnsi="Times New Roman"/>
          <w:b/>
          <w:bCs/>
          <w:sz w:val="26"/>
          <w:szCs w:val="26"/>
        </w:rPr>
        <w:t xml:space="preserve">3. Recent work in strategic communication</w:t>
      </w:r>
    </w:p>
    <w:p>
      <w:pPr>
        <w:spacing w:after="60" w:before="0" w:line="276"/>
        <w:jc w:val="left"/>
      </w:pPr>
      <w:r>
        <w:rPr>
          <w:rFonts w:ascii="Times New Roman" w:cs="Times New Roman" w:eastAsia="Times New Roman" w:hAnsi="Times New Roman"/>
          <w:sz w:val="22"/>
          <w:szCs w:val="22"/>
        </w:rPr>
        <w:t xml:space="preserve">These keep the review current and prove the conversation is live in your own field, not only in management and marketing.</w:t>
      </w:r>
    </w:p>
    <w:p>
      <w:pPr>
        <w:spacing w:after="20" w:before="0" w:line="276"/>
        <w:jc w:val="left"/>
      </w:pPr>
      <w:r>
        <w:rPr>
          <w:rFonts w:ascii="Times New Roman" w:cs="Times New Roman" w:eastAsia="Times New Roman" w:hAnsi="Times New Roman"/>
          <w:sz w:val="22"/>
          <w:szCs w:val="22"/>
        </w:rPr>
        <w:t xml:space="preserve">The authenticity of organizational-level visual identity in the context of strategic communication (2024). International Journal of Strategic Communication.</w:t>
      </w:r>
    </w:p>
    <w:p>
      <w:pPr>
        <w:spacing w:after="20" w:before="0" w:line="276"/>
        <w:ind w:left="340"/>
        <w:jc w:val="left"/>
      </w:pPr>
      <w:r>
        <w:rPr>
          <w:rFonts w:ascii="Times New Roman" w:cs="Times New Roman" w:eastAsia="Times New Roman" w:hAnsi="Times New Roman"/>
          <w:i/>
          <w:iCs/>
          <w:sz w:val="22"/>
          <w:szCs w:val="22"/>
        </w:rPr>
        <w:t xml:space="preserve">https://www.tandfonline.com/doi/full/10.1080/1553118X.2024.2352114</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Treats authenticity as central to how organisations construct visual identity.</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Evidence that authenticity is an active concern in the flagship strategic communication journal. Good for your introduction.</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Authors not confirmed — get the full citation from the journal page.</w:t>
      </w:r>
    </w:p>
    <w:p>
      <w:pPr>
        <w:spacing w:after="20" w:before="0" w:line="276"/>
        <w:jc w:val="left"/>
      </w:pPr>
      <w:r>
        <w:rPr>
          <w:rFonts w:ascii="Times New Roman" w:cs="Times New Roman" w:eastAsia="Times New Roman" w:hAnsi="Times New Roman"/>
          <w:sz w:val="22"/>
          <w:szCs w:val="22"/>
        </w:rPr>
        <w:t xml:space="preserve">Strategic authenticity: Signaling authenticity without undermining professional image in workplace interactions. Organization Science.</w:t>
      </w:r>
    </w:p>
    <w:p>
      <w:pPr>
        <w:spacing w:after="20" w:before="0" w:line="276"/>
        <w:ind w:left="340"/>
        <w:jc w:val="left"/>
      </w:pPr>
      <w:r>
        <w:rPr>
          <w:rFonts w:ascii="Times New Roman" w:cs="Times New Roman" w:eastAsia="Times New Roman" w:hAnsi="Times New Roman"/>
          <w:i/>
          <w:iCs/>
          <w:sz w:val="22"/>
          <w:szCs w:val="22"/>
        </w:rPr>
        <w:t xml:space="preserve">https://pubsonline.informs.org/doi/10.1287/orsc.2020.14807</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How people signal authenticity at work without damaging their professional image.</w:t>
      </w:r>
    </w:p>
    <w:p>
      <w:pPr>
        <w:spacing w:after="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Individual-level rather than organisational, so use it carefully — but the title names your exact paradox, and it shows the tension is recognised as real.</w:t>
      </w:r>
    </w:p>
    <w:p>
      <w:pPr>
        <w:spacing w:after="120" w:before="0" w:line="276"/>
        <w:ind w:left="340"/>
        <w:jc w:val="left"/>
      </w:pPr>
      <w:r>
        <w:rPr>
          <w:rFonts w:ascii="Times New Roman" w:cs="Times New Roman" w:eastAsia="Times New Roman" w:hAnsi="Times New Roman"/>
          <w:b/>
          <w:bCs/>
          <w:sz w:val="22"/>
          <w:szCs w:val="22"/>
        </w:rPr>
        <w:t xml:space="preserve">Check before citing: </w:t>
      </w:r>
      <w:r>
        <w:rPr>
          <w:rFonts w:ascii="Times New Roman" w:cs="Times New Roman" w:eastAsia="Times New Roman" w:hAnsi="Times New Roman"/>
          <w:sz w:val="22"/>
          <w:szCs w:val="22"/>
        </w:rPr>
        <w:t xml:space="preserve">Authors and year not confirmed.</w:t>
      </w:r>
    </w:p>
    <w:p>
      <w:pPr>
        <w:spacing w:after="20" w:before="0" w:line="276"/>
        <w:jc w:val="left"/>
      </w:pPr>
      <w:r>
        <w:rPr>
          <w:rFonts w:ascii="Times New Roman" w:cs="Times New Roman" w:eastAsia="Times New Roman" w:hAnsi="Times New Roman"/>
          <w:sz w:val="22"/>
          <w:szCs w:val="22"/>
        </w:rPr>
        <w:t xml:space="preserve">Müller, N. (2024). Challenge or resist dominant discourses: Authenticity as a strategic component of activist public relations. Public Relations Inquiry.</w:t>
      </w:r>
    </w:p>
    <w:p>
      <w:pPr>
        <w:spacing w:after="20" w:before="0" w:line="276"/>
        <w:ind w:left="340"/>
        <w:jc w:val="left"/>
      </w:pPr>
      <w:r>
        <w:rPr>
          <w:rFonts w:ascii="Times New Roman" w:cs="Times New Roman" w:eastAsia="Times New Roman" w:hAnsi="Times New Roman"/>
          <w:i/>
          <w:iCs/>
          <w:sz w:val="22"/>
          <w:szCs w:val="22"/>
        </w:rPr>
        <w:t xml:space="preserve">https://journals.sagepub.com/doi/10.1177/2046147X241232753</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Authenticity functions as a deliberate strategic resource for activist organisations.</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Widens your review beyond corporations and shows authenticity is claimed by organisations with very different aims. Note this is a different Müller from the Organization Studies one — cite carefully.</w:t>
      </w:r>
    </w:p>
    <w:p>
      <w:pPr>
        <w:spacing w:after="80" w:before="240" w:line="276"/>
      </w:pPr>
      <w:r>
        <w:rPr>
          <w:rFonts w:ascii="Times New Roman" w:cs="Times New Roman" w:eastAsia="Times New Roman" w:hAnsi="Times New Roman"/>
          <w:b/>
          <w:bCs/>
          <w:sz w:val="26"/>
          <w:szCs w:val="26"/>
        </w:rPr>
        <w:t xml:space="preserve">4. Course literature that carries weight here</w:t>
      </w:r>
    </w:p>
    <w:p>
      <w:pPr>
        <w:spacing w:after="60" w:before="0" w:line="276"/>
        <w:jc w:val="left"/>
      </w:pPr>
      <w:r>
        <w:rPr>
          <w:rFonts w:ascii="Times New Roman" w:cs="Times New Roman" w:eastAsia="Times New Roman" w:hAnsi="Times New Roman"/>
          <w:sz w:val="22"/>
          <w:szCs w:val="22"/>
        </w:rPr>
        <w:t xml:space="preserve">Using these is required, and they are genuine anchors rather than decoration.</w:t>
      </w:r>
    </w:p>
    <w:p>
      <w:pPr>
        <w:spacing w:after="20" w:before="0" w:line="276"/>
        <w:jc w:val="left"/>
      </w:pPr>
      <w:r>
        <w:rPr>
          <w:rFonts w:ascii="Times New Roman" w:cs="Times New Roman" w:eastAsia="Times New Roman" w:hAnsi="Times New Roman"/>
          <w:sz w:val="22"/>
          <w:szCs w:val="22"/>
        </w:rPr>
        <w:t xml:space="preserve">Davis, A. (2013). Promotional Cultures: The Rise and Spread of Advertising, Public Relations, Marketing and Branding. Cambridge: Polity.</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Promotional logic has spread from advertising into public relations, politics and public institutions.</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Your societal-stakes paragraph, and the justification for why this matters beyond one company. Chapters 1–3 and 10.</w:t>
      </w:r>
    </w:p>
    <w:p>
      <w:pPr>
        <w:spacing w:after="20" w:before="0" w:line="276"/>
        <w:jc w:val="left"/>
      </w:pPr>
      <w:r>
        <w:rPr>
          <w:rFonts w:ascii="Times New Roman" w:cs="Times New Roman" w:eastAsia="Times New Roman" w:hAnsi="Times New Roman"/>
          <w:sz w:val="22"/>
          <w:szCs w:val="22"/>
        </w:rPr>
        <w:t xml:space="preserve">Gulbrandsen, I. T., &amp; Just, S. (2020). Strategizing Communication: Theory and Practice. Lund: Studentlitteratur.</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The module’s framework for strategic communication as theory and as practice.</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Definitional grounding. Chapters 5–8 are the relevant ones for branding and internal communication.</w:t>
      </w:r>
    </w:p>
    <w:p>
      <w:pPr>
        <w:spacing w:after="20" w:before="0" w:line="276"/>
        <w:jc w:val="left"/>
      </w:pPr>
      <w:r>
        <w:rPr>
          <w:rFonts w:ascii="Times New Roman" w:cs="Times New Roman" w:eastAsia="Times New Roman" w:hAnsi="Times New Roman"/>
          <w:sz w:val="22"/>
          <w:szCs w:val="22"/>
        </w:rPr>
        <w:t xml:space="preserve">Verčič, A. T., &amp; Vokić, N. P. (2017). Engaging employees through internal communication. Public Relations Review, 43(5), 885–893.</w:t>
      </w:r>
    </w:p>
    <w:p>
      <w:pPr>
        <w:spacing w:after="20" w:before="0" w:line="276"/>
        <w:ind w:left="340"/>
        <w:jc w:val="left"/>
      </w:pPr>
      <w:r>
        <w:rPr>
          <w:rFonts w:ascii="Times New Roman" w:cs="Times New Roman" w:eastAsia="Times New Roman" w:hAnsi="Times New Roman"/>
          <w:b/>
          <w:bCs/>
          <w:sz w:val="22"/>
          <w:szCs w:val="22"/>
        </w:rPr>
        <w:t xml:space="preserve">Argues: </w:t>
      </w:r>
      <w:r>
        <w:rPr>
          <w:rFonts w:ascii="Times New Roman" w:cs="Times New Roman" w:eastAsia="Times New Roman" w:hAnsi="Times New Roman"/>
          <w:sz w:val="22"/>
          <w:szCs w:val="22"/>
        </w:rPr>
        <w:t xml:space="preserve">Internal communication drives employee engagement.</w:t>
      </w:r>
    </w:p>
    <w:p>
      <w:pPr>
        <w:spacing w:after="120" w:before="0" w:line="276"/>
        <w:ind w:left="340"/>
        <w:jc w:val="left"/>
      </w:pPr>
      <w:r>
        <w:rPr>
          <w:rFonts w:ascii="Times New Roman" w:cs="Times New Roman" w:eastAsia="Times New Roman" w:hAnsi="Times New Roman"/>
          <w:b/>
          <w:bCs/>
          <w:sz w:val="22"/>
          <w:szCs w:val="22"/>
        </w:rPr>
        <w:t xml:space="preserve">Use it for: </w:t>
      </w:r>
      <w:r>
        <w:rPr>
          <w:rFonts w:ascii="Times New Roman" w:cs="Times New Roman" w:eastAsia="Times New Roman" w:hAnsi="Times New Roman"/>
          <w:sz w:val="22"/>
          <w:szCs w:val="22"/>
        </w:rPr>
        <w:t xml:space="preserve">Handle with care. This is the closest thing on your list to an HR framing. Use it to establish that internal communication is a recognised sub-field of strategic communication, then move past it — your object is the claim, not the engagement score.</w:t>
      </w:r>
    </w:p>
    <w:p>
      <w:pPr>
        <w:spacing w:after="80" w:before="240" w:line="276"/>
      </w:pPr>
      <w:r>
        <w:rPr>
          <w:rFonts w:ascii="Times New Roman" w:cs="Times New Roman" w:eastAsia="Times New Roman" w:hAnsi="Times New Roman"/>
          <w:b/>
          <w:bCs/>
          <w:sz w:val="26"/>
          <w:szCs w:val="26"/>
        </w:rPr>
        <w:t xml:space="preserve">5. Leads worth a search, not yet verified</w:t>
      </w:r>
    </w:p>
    <w:p>
      <w:pPr>
        <w:spacing w:after="60" w:before="0" w:line="276"/>
        <w:jc w:val="left"/>
      </w:pPr>
      <w:r>
        <w:rPr>
          <w:rFonts w:ascii="Times New Roman" w:cs="Times New Roman" w:eastAsia="Times New Roman" w:hAnsi="Times New Roman"/>
          <w:sz w:val="22"/>
          <w:szCs w:val="22"/>
        </w:rPr>
        <w:t xml:space="preserve">I have not confirmed these against publisher records. Search them; if they hold up they would strengthen the review.</w:t>
      </w:r>
    </w:p>
    <w:p>
      <w:pPr>
        <w:spacing w:after="60" w:before="0" w:line="276"/>
        <w:ind w:left="226"/>
        <w:jc w:val="left"/>
      </w:pPr>
      <w:r>
        <w:rPr>
          <w:rFonts w:ascii="Times New Roman" w:cs="Times New Roman" w:eastAsia="Times New Roman" w:hAnsi="Times New Roman"/>
          <w:sz w:val="22"/>
          <w:szCs w:val="22"/>
        </w:rPr>
        <w:t xml:space="preserve">•  Alvesson, M., &amp; Willmott, H. (2002). Identity regulation as organizational control. Journal of Management Studies. — the theoretical parent of the Strand 4 argument.</w:t>
      </w:r>
    </w:p>
    <w:p>
      <w:pPr>
        <w:spacing w:after="60" w:before="0" w:line="276"/>
        <w:ind w:left="226"/>
        <w:jc w:val="left"/>
      </w:pPr>
      <w:r>
        <w:rPr>
          <w:rFonts w:ascii="Times New Roman" w:cs="Times New Roman" w:eastAsia="Times New Roman" w:hAnsi="Times New Roman"/>
          <w:sz w:val="22"/>
          <w:szCs w:val="22"/>
        </w:rPr>
        <w:t xml:space="preserve">•  Peterson, R. A. (2005). In search of authenticity. Journal of Management Studies. — authenticity as a claim that is fabricated rather than found.</w:t>
      </w:r>
    </w:p>
    <w:p>
      <w:pPr>
        <w:spacing w:after="60" w:before="0" w:line="276"/>
        <w:ind w:left="226"/>
        <w:jc w:val="left"/>
      </w:pPr>
      <w:r>
        <w:rPr>
          <w:rFonts w:ascii="Times New Roman" w:cs="Times New Roman" w:eastAsia="Times New Roman" w:hAnsi="Times New Roman"/>
          <w:sz w:val="22"/>
          <w:szCs w:val="22"/>
        </w:rPr>
        <w:t xml:space="preserve">•  Beverland, M. B. — on crafting authenticity in luxury brands; several papers, pick one.</w:t>
      </w:r>
    </w:p>
    <w:p>
      <w:pPr>
        <w:spacing w:after="60" w:before="0" w:line="276"/>
        <w:ind w:left="226"/>
        <w:jc w:val="left"/>
      </w:pPr>
      <w:r>
        <w:rPr>
          <w:rFonts w:ascii="Times New Roman" w:cs="Times New Roman" w:eastAsia="Times New Roman" w:hAnsi="Times New Roman"/>
          <w:sz w:val="22"/>
          <w:szCs w:val="22"/>
        </w:rPr>
        <w:t xml:space="preserve">•  Heide, M., &amp; Simonsson, C. — coworkership and internal communication in the Nordic context. Useful and close to home.</w:t>
      </w:r>
    </w:p>
    <w:p>
      <w:pPr>
        <w:spacing w:after="60" w:before="0" w:line="276"/>
        <w:ind w:left="226"/>
        <w:jc w:val="left"/>
      </w:pPr>
      <w:r>
        <w:rPr>
          <w:rFonts w:ascii="Times New Roman" w:cs="Times New Roman" w:eastAsia="Times New Roman" w:hAnsi="Times New Roman"/>
          <w:sz w:val="22"/>
          <w:szCs w:val="22"/>
        </w:rPr>
        <w:t xml:space="preserve">•  Vallaster, C., &amp; de Chernatony, L. — internal brand building and leadership.</w:t>
      </w:r>
    </w:p>
    <w:p>
      <w:pPr>
        <w:spacing w:after="80" w:before="240" w:line="276"/>
      </w:pPr>
      <w:r>
        <w:rPr>
          <w:rFonts w:ascii="Times New Roman" w:cs="Times New Roman" w:eastAsia="Times New Roman" w:hAnsi="Times New Roman"/>
          <w:b/>
          <w:bCs/>
          <w:sz w:val="26"/>
          <w:szCs w:val="26"/>
        </w:rPr>
        <w:t xml:space="preserve">6. Running the search yourself</w:t>
      </w:r>
    </w:p>
    <w:p>
      <w:pPr>
        <w:spacing w:after="60" w:before="0" w:line="276"/>
        <w:jc w:val="left"/>
      </w:pPr>
      <w:r>
        <w:rPr>
          <w:rFonts w:ascii="Times New Roman" w:cs="Times New Roman" w:eastAsia="Times New Roman" w:hAnsi="Times New Roman"/>
          <w:sz w:val="22"/>
          <w:szCs w:val="22"/>
        </w:rPr>
        <w:t xml:space="preserve">Your method section has to describe this, so keep a record as you go: which database, which string, how many hits, what you kept and why.</w:t>
      </w:r>
    </w:p>
    <w:p>
      <w:pPr>
        <w:spacing w:after="60" w:before="0" w:line="276"/>
        <w:jc w:val="left"/>
      </w:pPr>
      <w:r>
        <w:rPr>
          <w:rFonts w:ascii="Times New Roman" w:cs="Times New Roman" w:eastAsia="Times New Roman" w:hAnsi="Times New Roman"/>
          <w:b/>
          <w:bCs/>
          <w:sz w:val="22"/>
          <w:szCs w:val="22"/>
        </w:rPr>
        <w:t xml:space="preserve">Databases: </w:t>
      </w:r>
      <w:r>
        <w:rPr>
          <w:rFonts w:ascii="Times New Roman" w:cs="Times New Roman" w:eastAsia="Times New Roman" w:hAnsi="Times New Roman"/>
          <w:sz w:val="22"/>
          <w:szCs w:val="22"/>
        </w:rPr>
        <w:t xml:space="preserve">Communication &amp; Mass Media Complete, Scopus, Web of Science, Business Source Premier. Book a session with Peder Bergenwall, the library’s database search instructor named in the course guide — twenty minutes with him will produce a better method section than anything I can give you.</w:t>
      </w:r>
    </w:p>
    <w:p>
      <w:pPr>
        <w:spacing w:after="60" w:before="0" w:line="276"/>
        <w:jc w:val="left"/>
      </w:pPr>
      <w:r>
        <w:rPr>
          <w:rFonts w:ascii="Times New Roman" w:cs="Times New Roman" w:eastAsia="Times New Roman" w:hAnsi="Times New Roman"/>
          <w:b/>
          <w:bCs/>
          <w:sz w:val="22"/>
          <w:szCs w:val="22"/>
        </w:rPr>
        <w:t xml:space="preserve">Search strings: </w:t>
      </w:r>
      <w:r>
        <w:rPr>
          <w:rFonts w:ascii="Times New Roman" w:cs="Times New Roman" w:eastAsia="Times New Roman" w:hAnsi="Times New Roman"/>
          <w:sz w:val="22"/>
          <w:szCs w:val="22"/>
        </w:rPr>
        <w:t xml:space="preserve">authenticity AND (“strategic communication” OR “public relations” OR “corporate communication”) · “brand authenticity” AND (review OR framework) · authenticity AND (“internal branding” OR “brand ambassador”) · “organizational hypocrisy” OR “aspirational talk” · “normative control” AND brand</w:t>
      </w:r>
    </w:p>
    <w:p>
      <w:pPr>
        <w:spacing w:after="60" w:before="0" w:line="276"/>
        <w:jc w:val="left"/>
      </w:pPr>
      <w:r>
        <w:rPr>
          <w:rFonts w:ascii="Times New Roman" w:cs="Times New Roman" w:eastAsia="Times New Roman" w:hAnsi="Times New Roman"/>
          <w:b/>
          <w:bCs/>
          <w:sz w:val="22"/>
          <w:szCs w:val="22"/>
        </w:rPr>
        <w:t xml:space="preserve">Journals to watch: </w:t>
      </w:r>
      <w:r>
        <w:rPr>
          <w:rFonts w:ascii="Times New Roman" w:cs="Times New Roman" w:eastAsia="Times New Roman" w:hAnsi="Times New Roman"/>
          <w:sz w:val="22"/>
          <w:szCs w:val="22"/>
        </w:rPr>
        <w:t xml:space="preserve">International Journal of Strategic Communication · Public Relations Review · Public Relations Inquiry · Journal of Communication Management · Corporate Communications: An International Journal · Management Communication Quarterly · Organization · Organization Studies</w:t>
      </w:r>
    </w:p>
    <w:p>
      <w:pPr>
        <w:spacing w:after="200" w:before="0" w:line="276"/>
        <w:jc w:val="left"/>
      </w:pPr>
      <w:r>
        <w:rPr>
          <w:rFonts w:ascii="Times New Roman" w:cs="Times New Roman" w:eastAsia="Times New Roman" w:hAnsi="Times New Roman"/>
          <w:b/>
          <w:bCs/>
          <w:sz w:val="22"/>
          <w:szCs w:val="22"/>
        </w:rPr>
        <w:t xml:space="preserve">Screening rule: </w:t>
      </w:r>
      <w:r>
        <w:rPr>
          <w:rFonts w:ascii="Times New Roman" w:cs="Times New Roman" w:eastAsia="Times New Roman" w:hAnsi="Times New Roman"/>
          <w:sz w:val="22"/>
          <w:szCs w:val="22"/>
        </w:rPr>
        <w:t xml:space="preserve">peer-reviewed articles and academic book chapters only. Trade press, consultancy reports and white papers stay out — grade F specifically penalises confusing research with other kinds of text.</w:t>
      </w:r>
    </w:p>
    <w:p>
      <w:pPr>
        <w:spacing w:after="80" w:before="240" w:line="276"/>
      </w:pPr>
      <w:r>
        <w:rPr>
          <w:rFonts w:ascii="Times New Roman" w:cs="Times New Roman" w:eastAsia="Times New Roman" w:hAnsi="Times New Roman"/>
          <w:b/>
          <w:bCs/>
          <w:sz w:val="26"/>
          <w:szCs w:val="26"/>
        </w:rPr>
        <w:t xml:space="preserve">7. Adjacent reviews — know these exist</w:t>
      </w:r>
    </w:p>
    <w:p>
      <w:pPr>
        <w:spacing w:after="60" w:before="0" w:line="276"/>
        <w:jc w:val="left"/>
      </w:pPr>
      <w:r>
        <w:rPr>
          <w:rFonts w:ascii="Times New Roman" w:cs="Times New Roman" w:eastAsia="Times New Roman" w:hAnsi="Times New Roman"/>
          <w:sz w:val="22"/>
          <w:szCs w:val="22"/>
        </w:rPr>
        <w:t xml:space="preserve">These review nearby ground. None does what you are doing, but an examiner may know them, so name the closest one (Christensen &amp; Cornelissen, above) rather than claiming the field is empty.</w:t>
      </w:r>
    </w:p>
    <w:p>
      <w:pPr>
        <w:spacing w:after="60" w:before="0" w:line="276"/>
        <w:ind w:left="226"/>
        <w:jc w:val="left"/>
      </w:pPr>
      <w:r>
        <w:rPr>
          <w:rFonts w:ascii="Times New Roman" w:cs="Times New Roman" w:eastAsia="Times New Roman" w:hAnsi="Times New Roman"/>
          <w:sz w:val="22"/>
          <w:szCs w:val="22"/>
        </w:rPr>
        <w:t xml:space="preserve">•  A systematic review of internal and external brand management (MDPI Encyclopedia, 2026) — managerial framing, employee brand equity as the outcome.</w:t>
      </w:r>
    </w:p>
    <w:p>
      <w:pPr>
        <w:spacing w:after="60" w:before="0" w:line="276"/>
        <w:ind w:left="226"/>
        <w:jc w:val="left"/>
      </w:pPr>
      <w:r>
        <w:rPr>
          <w:rFonts w:ascii="Times New Roman" w:cs="Times New Roman" w:eastAsia="Times New Roman" w:hAnsi="Times New Roman"/>
          <w:sz w:val="22"/>
          <w:szCs w:val="22"/>
        </w:rPr>
        <w:t xml:space="preserve">•  Recommendations for internal communication to strengthen the employer brand: a systematic literature review (Administrative Sciences, 2023).</w:t>
      </w:r>
    </w:p>
    <w:p>
      <w:pPr>
        <w:spacing w:after="60" w:before="0" w:line="276"/>
        <w:ind w:left="226"/>
        <w:jc w:val="left"/>
      </w:pPr>
      <w:r>
        <w:rPr>
          <w:rFonts w:ascii="Times New Roman" w:cs="Times New Roman" w:eastAsia="Times New Roman" w:hAnsi="Times New Roman"/>
          <w:sz w:val="22"/>
          <w:szCs w:val="22"/>
        </w:rPr>
        <w:t xml:space="preserve">•  Internal branding: conceptualization from a literature review and opportunities for future research (Journal of Brand Management).</w:t>
      </w:r>
    </w:p>
    <w:p>
      <w:pPr>
        <w:spacing w:after="60" w:before="0" w:line="276"/>
        <w:ind w:left="226"/>
        <w:jc w:val="left"/>
      </w:pPr>
      <w:r>
        <w:rPr>
          <w:rFonts w:ascii="Times New Roman" w:cs="Times New Roman" w:eastAsia="Times New Roman" w:hAnsi="Times New Roman"/>
          <w:sz w:val="22"/>
          <w:szCs w:val="22"/>
        </w:rPr>
        <w:t xml:space="preserve">•  An employer branding systematic review covering 145 articles, 2000–2024.</w:t>
      </w:r>
    </w:p>
    <w:p>
      <w:pPr>
        <w:spacing w:after="200" w:before="0" w:line="276"/>
        <w:jc w:val="left"/>
      </w:pPr>
      <w:r>
        <w:rPr>
          <w:rFonts w:ascii="Times New Roman" w:cs="Times New Roman" w:eastAsia="Times New Roman" w:hAnsi="Times New Roman"/>
          <w:i/>
          <w:iCs/>
          <w:sz w:val="22"/>
          <w:szCs w:val="22"/>
        </w:rPr>
        <w:t xml:space="preserve">Two of these are MDPI journals, where quality varies. Check them before citing; the rubric penalises weak sourcing. </w:t>
      </w:r>
    </w:p>
    <w:p>
      <w:pPr>
        <w:spacing w:after="0" w:before="0" w:line="276"/>
        <w:jc w:val="left"/>
      </w:pPr>
      <w:r>
        <w:rPr>
          <w:rFonts w:ascii="Times New Roman" w:cs="Times New Roman" w:eastAsia="Times New Roman" w:hAnsi="Times New Roman"/>
          <w:b/>
          <w:bCs/>
          <w:sz w:val="22"/>
          <w:szCs w:val="22"/>
        </w:rPr>
        <w:t xml:space="preserve">One last thing. </w:t>
      </w:r>
      <w:r>
        <w:rPr>
          <w:rFonts w:ascii="Times New Roman" w:cs="Times New Roman" w:eastAsia="Times New Roman" w:hAnsi="Times New Roman"/>
          <w:sz w:val="22"/>
          <w:szCs w:val="22"/>
        </w:rPr>
        <w:t xml:space="preserve">Do not cite anything on this list you have not opened. If a source turns out to say something different from what is written here, trust the source and tell me — the note is my summary, not the paper.</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Sincerity — Reading List</dc:title>
  <dc:creator>David Ezieshi</dc:creator>
  <cp:lastModifiedBy>Un-named</cp:lastModifiedBy>
  <cp:revision>1</cp:revision>
  <dcterms:created xsi:type="dcterms:W3CDTF">2026-09-14T06:58:03.256Z</dcterms:created>
  <dcterms:modified xsi:type="dcterms:W3CDTF">2026-09-14T06:58:03.277Z</dcterms:modified>
</cp:coreProperties>
</file>

<file path=docProps/custom.xml><?xml version="1.0" encoding="utf-8"?>
<Properties xmlns="http://schemas.openxmlformats.org/officeDocument/2006/custom-properties" xmlns:vt="http://schemas.openxmlformats.org/officeDocument/2006/docPropsVTypes"/>
</file>