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rPr>
      </w:pPr>
      <w:r>
        <w:rPr>
          <w:rFonts w:ascii="Times New Roman" w:hAnsi="Times New Roman" w:cs="Times New Roman"/>
        </w:rPr>
        <w:t xml:space="preserve">The results are presented in four parts, according to where each strand of the literature places authenticity. The first three parts are outstanding in this draft. The fourth is presented below.</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strand asks what makes an organization authentic. This one relocates the question and asks what makes an audience judge an organization to be so. The shift matters, because once authenticity is treated as a perception it becomes measurable, and much of the research in this strand is devoted to measuring it.</w:t>
      </w:r>
    </w:p>
    <w:p>
      <w:pPr>
        <w:spacing w:line="360" w:lineRule="auto"/>
        <w:jc w:val="both"/>
        <w:rPr>
          <w:rFonts w:ascii="Times New Roman" w:hAnsi="Times New Roman" w:cs="Times New Roman"/>
        </w:rPr>
      </w:pPr>
      <w:r>
        <w:rPr>
          <w:rFonts w:ascii="Times New Roman" w:hAnsi="Times New Roman" w:cs="Times New Roman"/>
        </w:rPr>
        <w:t xml:space="preserve">Molleda (2010) makes the foundational move for communication research. The stated purpose is “to define the construct authenticity and its dimensions and to propose an index to measure levels of authenticity in organisational messages and actions, as well as perceived authenticity from the stakeholders’ perspective” (p. 223). Two features are worth noting. The proposed index is meant to capture both what an organization does and how stakeholders read it, which keeps the two connected rather than treating perception alone. And the construct is assembled from advertising, marketing, communication studies and public relations, an early acknowledgement that authenticity does not belong to a single field. Morhart, Malär, Guèvremont, Girardin and Grohmann (2015) later develop an integrative framework and measurement scale for brand authenticity, work that Yang, Jiang and Kim (2023) characterize as operating at the brand rather than the message level.</w:t>
      </w:r>
    </w:p>
    <w:p>
      <w:pPr>
        <w:spacing w:line="360" w:lineRule="auto"/>
        <w:jc w:val="both"/>
        <w:rPr>
          <w:rFonts w:ascii="Times New Roman" w:hAnsi="Times New Roman" w:cs="Times New Roman"/>
        </w:rPr>
      </w:pPr>
      <w:r>
        <w:rPr>
          <w:rFonts w:ascii="Times New Roman" w:hAnsi="Times New Roman" w:cs="Times New Roman"/>
        </w:rPr>
        <w:t xml:space="preserve">Yim (2021) provides the strand’s sharpest instrument, and the one closest to this review’s question. In a 2 × 2 factorial survey experiment (N = 398) on corporate social advocacy, Yim identifies two perceptual gaps an organization must bridge. The factual gap “refers to perceived inconsistency of values – that is, that the company may not walk its talk on moral values” (p. 60). The conformity gap “refers to values incongruity between public expectations and corporate performance” (p. 60). On these two axes, advocacy initiatives are classified as authentic, faulty or fake, and authentic initiatives, which project clear moral values and meet public expectations, are found to generate stronger perceptions of legitimacy and more positive behavioral willingness than the others.</w:t>
      </w:r>
    </w:p>
    <w:p>
      <w:pPr>
        <w:spacing w:line="360" w:lineRule="auto"/>
        <w:jc w:val="both"/>
        <w:rPr>
          <w:rFonts w:ascii="Times New Roman" w:hAnsi="Times New Roman" w:cs="Times New Roman"/>
        </w:rPr>
      </w:pPr>
      <w:r>
        <w:rPr>
          <w:rFonts w:ascii="Times New Roman" w:hAnsi="Times New Roman" w:cs="Times New Roman"/>
        </w:rPr>
        <w:t xml:space="preserve">The factual gap deserves particular attention here, because it is this review’s question expressed in the vocabulary of audience perception. Whether a company walks its talk is a question about the relationship between what an organization says outside and what it does inside. Yim treats that relationship as something publics detect, and measures how accurately they detect it. What the study does not ask is what makes the talk and the walk correspond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arrive at a similar boundary from another direction. In a 4 × 2 experiment with 620 US adults concerning corporate social advocacy on environmental injustice, promise type was tested against leadership congruence, and the results “confirmed the importance of having leaders whose values align with company-endorsed causes” (p. 709). The strongest determinant of an external authenticity judgment turns out to be an internal condition: who the organization’s leaders are and what they are taken to believe.</w:t>
      </w:r>
    </w:p>
    <w:p>
      <w:pPr>
        <w:spacing w:line="360" w:lineRule="auto"/>
        <w:jc w:val="both"/>
        <w:rPr>
          <w:rFonts w:ascii="Times New Roman" w:hAnsi="Times New Roman" w:cs="Times New Roman"/>
        </w:rPr>
      </w:pPr>
      <w:r>
        <w:rPr>
          <w:rFonts w:ascii="Times New Roman" w:hAnsi="Times New Roman" w:cs="Times New Roman"/>
        </w:rPr>
        <w:t xml:space="preserve">Edwards (2010) supplies the strand’s critical counterweight, and a substantial one. Drawing on Bourdieu, Edwards argues that fields of production are competitive arenas in which organizations “attempt to secure symbolic power that will allow them to define the field’s parameters and norms in their own interests” (p. 199), and that communications professionals, “who try to define what is and is not authentic in a particular field, are implicated in these processes” (p. 199). The consequence is that audience judgments of authenticity are not made against neutral criteria. The criteria are themselves an outcome of competition, and the organizations being judged help to set them. Edwards further notes the exclusionary effects of this, since a definition of authenticity that serves some actors necessarily disqualifies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establishes that audiences do judge authenticity, that the judgment turns substantially on perceived consistency between what an organization says and what it does, and that the criteria of judgment are themselves contested. What the strand cannot do, by its own design, is explain how that consistency is produced. Measuring whether publics believe a company walks its talk says nothing about what walking the talk requires of the people who have to do the walking. That is the question taken up in the fourth strand.</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work asks what an authenticity claim requires of the people who have to sustain it. This strand divides internally, between studies that find organizations restricting what employees may say and studies that find organizations shaping what employees say on the organization’s behalf.</w:t>
      </w:r>
    </w:p>
    <w:p>
      <w:pPr>
        <w:spacing w:line="360" w:lineRule="auto"/>
        <w:jc w:val="both"/>
        <w:rPr>
          <w:rFonts w:ascii="Times New Roman" w:hAnsi="Times New Roman" w:cs="Times New Roman"/>
        </w:rPr>
      </w:pPr>
      <w:r>
        <w:rPr>
          <w:rFonts w:ascii="Times New Roman" w:hAnsi="Times New Roman" w:cs="Times New Roman"/>
        </w:rPr>
        <w:t xml:space="preserve">Dahle and Wæraas (2020) give the clearest case of restriction. Studying fifteen Oslo high schools competing for students and funding under marketization, they found that “voice restrictions, not brand ambassadorship, was the preferred strategy to ensure brand alignment” (p. 259). Message control, they conclude, is “a crucial means of creating brand alignment in the public sector” (p. 272). They are careful about which kind of control this is: it is technocratic, and “does not reflect the type of normative control demonstrated by studies of branding in other settings such as high-tech firms” (p. 272). Their concern is that where brand image dominates, public sector communication becomes “more self-centred and censored” (p. 273), which for organizations whose communication is meant to serve the public interest is a substantial cost.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show the second form, and show it operating through invitation rather than restriction. Their longitudinal case study examines how “employees’ communicative labour is used by brand management to constitute CSR as an embedded part of the corporate brand” (p. 584). Employees’ voluntary activities outside work are gathered as stories for the corporate brand. Management silences no one; it functions as what the authors call a practical author, attempting “to author a coherent and shared brand narrative by highlighting some preferred discourses over others” (p. 584). The mechanism is visible in the detail: employees are given “reassurances that all projects, regardless of size and scope, are equally valued, which, however, are contradicted by the reward of a winning project each year” (p. 595). The invitation to co-create is genuine, and it is also managed.</w:t>
      </w:r>
    </w:p>
    <w:p>
      <w:pPr>
        <w:spacing w:line="360" w:lineRule="auto"/>
        <w:jc w:val="both"/>
        <w:rPr>
          <w:rFonts w:ascii="Times New Roman" w:hAnsi="Times New Roman" w:cs="Times New Roman"/>
        </w:rPr>
      </w:pPr>
      <w:r>
        <w:rPr>
          <w:rFonts w:ascii="Times New Roman" w:hAnsi="Times New Roman" w:cs="Times New Roman"/>
        </w:rPr>
        <w:t xml:space="preserve">Placed side by side, these two studies describe the same problem solved in opposite directions. One organization secures a consistent external claim by limiting employee voice; the other secures it by inviting employee voice and then selecting from it. In both cases the external claim is produced internally, and in both cases that production is managed.</w:t>
      </w:r>
    </w:p>
    <w:p>
      <w:pPr>
        <w:spacing w:line="360" w:lineRule="auto"/>
        <w:jc w:val="both"/>
        <w:rPr>
          <w:rFonts w:ascii="Times New Roman" w:hAnsi="Times New Roman" w:cs="Times New Roman"/>
        </w:rPr>
      </w:pPr>
      <w:r>
        <w:rPr>
          <w:rFonts w:ascii="Times New Roman" w:hAnsi="Times New Roman" w:cs="Times New Roman"/>
        </w:rPr>
        <w:t xml:space="preserve">This is the dynamic Christensen and Cornelissen (2011) anticipate at the level of theory. Writing against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Hansen et al. give that claim an empirical form: celebrating involvement and regulating involvement are not alternatives but the same activity.</w:t>
      </w:r>
    </w:p>
    <w:p>
      <w:pPr>
        <w:spacing w:line="360" w:lineRule="auto"/>
        <w:jc w:val="both"/>
        <w:rPr>
          <w:rFonts w:ascii="Times New Roman" w:hAnsi="Times New Roman" w:cs="Times New Roman"/>
        </w:rPr>
      </w:pPr>
      <w:r>
        <w:rPr>
          <w:rFonts w:ascii="Times New Roman" w:hAnsi="Times New Roman" w:cs="Times New Roman"/>
        </w:rPr>
        <w:t xml:space="preserve">Not all of this strand is critical. Lee et al. (2024) study corporate social advocacy from the inside and find that employees’ perceptions of organizational justice shape whether they judge their employer’s external advocacy authentic, and that perceived authenticity in turn increases supportive behavior. On their account the internal condition for a credible external claim is neither silence nor curation but fairness. Wilcox and Rajasekar (2026) complicate the picture further. Studying diversity initiatives in the technology industry, they find employees sceptical of their own organizations’ claims, and argue that “(in)authenticity can serve as a unifying concern” across employees of different races and genders. Employees are not only the instrument of an authenticity claim; they are also among its most demanding audiences.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the management of employee voice, whether by restriction or by selection, and the evidence from Lee et al. and from Wilcox and Rajasekar suggests that employees notice which.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