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Proposal for the 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14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with no date restriction applied.</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1,099 results in total, from which 32 papers were selected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pPr>
        <w:spacing w:line="360" w:lineRule="auto"/>
        <w:jc w:val="both"/>
        <w:rPr>
          <w:rFonts w:ascii="Times New Roman" w:hAnsi="Times New Roman" w:cs="Times New Roman"/>
          <w:b/>
          <w:bCs/>
        </w:rPr>
      </w:pPr>
      <w:r>
        <w:rPr>
          <w:rFonts w:ascii="Times New Roman" w:hAnsi="Times New Roman" w:cs="Times New Roman"/>
          <w:b/>
          <w:bCs/>
        </w:rPr>
        <w:t xml:space="preserve">Results</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property of the organization</w:t>
      </w:r>
    </w:p>
    <w:p>
      <w:pPr>
        <w:spacing w:line="360" w:lineRule="auto"/>
        <w:jc w:val="both"/>
        <w:rPr>
          <w:rFonts w:ascii="Times New Roman" w:hAnsi="Times New Roman" w:cs="Times New Roman"/>
        </w:rPr>
      </w:pPr>
      <w:r>
        <w:rPr>
          <w:rFonts w:ascii="Times New Roman" w:hAnsi="Times New Roman" w:cs="Times New Roman"/>
        </w:rPr>
        <w:t xml:space="preserve">This strand treats authenticity as something an organization has: a property of the organization itself, prior to and independent of any audience’s judgment of it. The question it asks is what that property consists in.</w:t>
      </w:r>
    </w:p>
    <w:p>
      <w:pPr>
        <w:spacing w:line="360" w:lineRule="auto"/>
        <w:jc w:val="both"/>
        <w:rPr>
          <w:rFonts w:ascii="Times New Roman" w:hAnsi="Times New Roman" w:cs="Times New Roman"/>
        </w:rPr>
      </w:pPr>
      <w:r>
        <w:rPr>
          <w:rFonts w:ascii="Times New Roman" w:hAnsi="Times New Roman" w:cs="Times New Roman"/>
        </w:rPr>
        <w:t xml:space="preserve">Eldor (2026) gives the clearest answer in the recent literature, defining organizational authenticity as “the consistency between an organization’s espoused values and its lived practices” (p. 1435). The definition is worth reading slowly, because it does not describe a quality. It describes a relation between two things an organization does: what it declares itself to value, and how it actually operates. On this account an organization is not authentic in the way it might be large or profitable. It is authentic to the extent that two of its own activities correspond.</w:t>
      </w:r>
    </w:p>
    <w:p>
      <w:pPr>
        <w:spacing w:line="360" w:lineRule="auto"/>
        <w:jc w:val="both"/>
        <w:rPr>
          <w:rFonts w:ascii="Times New Roman" w:hAnsi="Times New Roman" w:cs="Times New Roman"/>
        </w:rPr>
      </w:pPr>
      <w:r>
        <w:rPr>
          <w:rFonts w:ascii="Times New Roman" w:hAnsi="Times New Roman" w:cs="Times New Roman"/>
        </w:rPr>
        <w:t xml:space="preserve">This carries a consequence the definition does not state. Espoused values are, by their nature, communicated outward; lived practices are, by their nature, enacted inward. If authenticity is the correspondence between them, then it is constitutively a relation between an organization’s external communication and its internal conduct. The definition that founds this strand already contains the question this review asks.</w:t>
      </w:r>
    </w:p>
    <w:p>
      <w:pPr>
        <w:spacing w:line="360" w:lineRule="auto"/>
        <w:jc w:val="both"/>
        <w:rPr>
          <w:rFonts w:ascii="Times New Roman" w:hAnsi="Times New Roman" w:cs="Times New Roman"/>
        </w:rPr>
      </w:pPr>
      <w:r>
        <w:rPr>
          <w:rFonts w:ascii="Times New Roman" w:hAnsi="Times New Roman" w:cs="Times New Roman"/>
        </w:rPr>
        <w:t xml:space="preserve">Eldor’s own study pursues that implication. Using a randomized field experiment in a large global consulting company, Eldor finds that employees who perceived their organization as authentic performed better than a control group, and that employee trust in the organization mediates the relationship, while organizational identification and organizational likability do not explain it (p. 1435). The reasoning behind the design is as significant as the result. Employees, Eldor argues, “are likely to have a more comprehensive and fine-grained perception of whether espoused values and lived practices of the organization are aligned (i.e., authenticity)—a perception that is less available to external stakeholders such as clients” (p. 1436). If authenticity is correspondence between what is said outside and what is done inside, the people inside are best placed to know whether it holds.</w:t>
      </w:r>
    </w:p>
    <w:p>
      <w:pPr>
        <w:spacing w:line="360" w:lineRule="auto"/>
        <w:jc w:val="both"/>
        <w:rPr>
          <w:rFonts w:ascii="Times New Roman" w:hAnsi="Times New Roman" w:cs="Times New Roman"/>
        </w:rPr>
      </w:pPr>
      <w:r>
        <w:rPr>
          <w:rFonts w:ascii="Times New Roman" w:hAnsi="Times New Roman" w:cs="Times New Roman"/>
        </w:rPr>
        <w:t xml:space="preserve">Eldor also names the imbalance in the field directly: “While the authenticity literature has paid much attention to external stakeholders (e.g., clients), the notion of organizational authenticity perceptions of an important stakeholder—employees—has been understudied” (p. 1435).</w:t>
      </w:r>
    </w:p>
    <w:p>
      <w:pPr>
        <w:spacing w:line="360" w:lineRule="auto"/>
        <w:jc w:val="both"/>
        <w:rPr>
          <w:rFonts w:ascii="Times New Roman" w:hAnsi="Times New Roman" w:cs="Times New Roman"/>
        </w:rPr>
      </w:pPr>
      <w:r>
        <w:rPr>
          <w:rFonts w:ascii="Times New Roman" w:hAnsi="Times New Roman" w:cs="Times New Roman"/>
        </w:rPr>
        <w:t xml:space="preserve">Earlier work approached the property from the definitional side rather than the empirical one. Molleda (2010), discussed further in the next section, assembled the construct and its dimensions from advertising, marketing, communication studies and public relations, treating authenticity as something that could be specified and then measured in organizational messages and actions alike.</w:t>
      </w:r>
    </w:p>
    <w:p>
      <w:pPr>
        <w:spacing w:line="360" w:lineRule="auto"/>
        <w:jc w:val="both"/>
        <w:rPr>
          <w:rFonts w:ascii="Times New Roman" w:hAnsi="Times New Roman" w:cs="Times New Roman"/>
        </w:rPr>
      </w:pPr>
      <w:r>
        <w:rPr>
          <w:rFonts w:ascii="Times New Roman" w:hAnsi="Times New Roman" w:cs="Times New Roman"/>
        </w:rPr>
        <w:t xml:space="preserve">The strand’s most serious challenge comes from within strategic communication. Johansen and Gregersen (2024) identify as the first commitment of the dominant approach the assumption “that a real organizational identity essence exists” (p. 405), and argue that this essentialist premise should be supplemented by processual understandings in which identity is continuously produced rather than possessed. The challenge is substantial, because if there is no stable organizational essence, there is nothing for espoused values to correspond to, and authenticity as a property dissolves into authenticity as an ongoing accomplishment.</w:t>
      </w:r>
    </w:p>
    <w:p>
      <w:pPr>
        <w:spacing w:line="360" w:lineRule="auto"/>
        <w:jc w:val="both"/>
        <w:rPr>
          <w:rFonts w:ascii="Times New Roman" w:hAnsi="Times New Roman" w:cs="Times New Roman"/>
        </w:rPr>
      </w:pPr>
      <w:r>
        <w:rPr>
          <w:rFonts w:ascii="Times New Roman" w:hAnsi="Times New Roman" w:cs="Times New Roman"/>
        </w:rPr>
        <w:t xml:space="preserve">The strand therefore leaves a specific residue. Its founding definition makes authenticity a correspondence between outward claim and inward conduct. Its strongest empirical work measures not that correspondence itself but perceptions of it, and finds that the best-positioned perceivers are employees. And its central assumption, that there is an organizational essence to be faithful to, is contested by scholars within the field. The question of who is entitled to judge whether the correspondence holds, and on what evidence, is taken up in the next section.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judgment made by audiences</w:t>
      </w:r>
    </w:p>
    <w:p>
      <w:pPr>
        <w:spacing w:line="360" w:lineRule="auto"/>
        <w:jc w:val="both"/>
        <w:rPr>
          <w:rFonts w:ascii="Times New Roman" w:hAnsi="Times New Roman" w:cs="Times New Roman"/>
        </w:rPr>
      </w:pPr>
      <w:r>
        <w:rPr>
          <w:rFonts w:ascii="Times New Roman" w:hAnsi="Times New Roman" w:cs="Times New Roman"/>
        </w:rPr>
        <w:t xml:space="preserve">The first strand asks what makes an organization authentic. This one relocates the question and asks what makes an audience judge an organization to be so. The shift matters, because once authenticity is treated as a perception it becomes measurable, and much of the research in this strand is devoted to measuring it.</w:t>
      </w:r>
    </w:p>
    <w:p>
      <w:pPr>
        <w:spacing w:line="360" w:lineRule="auto"/>
        <w:jc w:val="both"/>
        <w:rPr>
          <w:rFonts w:ascii="Times New Roman" w:hAnsi="Times New Roman" w:cs="Times New Roman"/>
        </w:rPr>
      </w:pPr>
      <w:r>
        <w:rPr>
          <w:rFonts w:ascii="Times New Roman" w:hAnsi="Times New Roman" w:cs="Times New Roman"/>
        </w:rPr>
        <w:t xml:space="preserve">Molleda (2010) makes the foundational move for communication research. The stated purpose is “to define the construct authenticity and its dimensions and to propose an index to measure levels of authenticity in organisational messages and actions, as well as perceived authenticity from the stakeholders’ perspective” (p. 223). Two features are worth noting. The proposed index is meant to capture both what an organization does and how stakeholders read it, which keeps the two connected rather than treating perception alone. And the construct is assembled from advertising, marketing, communication studies and public relations, an early acknowledgement that authenticity does not belong to a single field.</w:t>
      </w:r>
    </w:p>
    <w:p>
      <w:pPr>
        <w:spacing w:line="360" w:lineRule="auto"/>
        <w:jc w:val="both"/>
        <w:rPr>
          <w:rFonts w:ascii="Times New Roman" w:hAnsi="Times New Roman" w:cs="Times New Roman"/>
        </w:rPr>
      </w:pPr>
      <w:r>
        <w:rPr>
          <w:rFonts w:ascii="Times New Roman" w:hAnsi="Times New Roman" w:cs="Times New Roman"/>
        </w:rPr>
        <w:t xml:space="preserve">Morhart, Malär, Guèvremont, Girardin and Grohmann (2015) carry the measurement project furthest. Across a multi-phase development process they produce a 15-item scale of perceived brand authenticity with four dimensions, and define the construct as “the extent to which consumers perceive a brand to be faithful toward itself (continuity), true to its consumers (credibility), motivated by caring and responsibility (integrity), and able to support consumers in being true to themselves (symbolism)” (p. 203). Perceptions are found to be driven by indexical cues, meaning “evidence-based brand characteristics,” alongside iconic and existential ones (p. 201), with the influence of the latter moderated by how sceptical of marketing a consumer is.</w:t>
      </w:r>
    </w:p>
    <w:p>
      <w:pPr>
        <w:spacing w:line="360" w:lineRule="auto"/>
        <w:jc w:val="both"/>
        <w:rPr>
          <w:rFonts w:ascii="Times New Roman" w:hAnsi="Times New Roman" w:cs="Times New Roman"/>
        </w:rPr>
      </w:pPr>
      <w:r>
        <w:rPr>
          <w:rFonts w:ascii="Times New Roman" w:hAnsi="Times New Roman" w:cs="Times New Roman"/>
        </w:rPr>
        <w:t xml:space="preserve">The definition repays close reading, because the phrase “the extent to which consumers perceive” governs all four dimensions. Integrity in this scale is not a property of the organization’s conduct but a perception of its motivation. Nothing in the instrument asks what the organization actually does internally. This is not a defect of the scale, which measures what it sets out to measure, but it marks the limit of the strand: a brand can score highly on perceived integrity while its internal practice remains entirely unexamined. Yang, Jiang and Kim (2023) describe this work as operating at the brand rather than the message level, a distinction that separates this strand from the next.</w:t>
      </w:r>
    </w:p>
    <w:p>
      <w:pPr>
        <w:spacing w:line="360" w:lineRule="auto"/>
        <w:jc w:val="both"/>
        <w:rPr>
          <w:rFonts w:ascii="Times New Roman" w:hAnsi="Times New Roman" w:cs="Times New Roman"/>
        </w:rPr>
      </w:pPr>
      <w:r>
        <w:rPr>
          <w:rFonts w:ascii="Times New Roman" w:hAnsi="Times New Roman" w:cs="Times New Roman"/>
        </w:rPr>
        <w:t xml:space="preserve">Yim (2021) provides the strand’s sharpest instrument, and the one closest to this review’s question. In a 2 × 2 factorial survey experiment (N = 398) on corporate social advocacy, Yim identifies two perceptual gaps an organization must bridge. The factual gap “refers to perceived inconsistency of values – that is, that the company may not walk its talk on moral values” (p. 60). The conformity gap “refers to values incongruity between public expectations and corporate performance” (p. 60). On these two axes, advocacy initiatives are classified as authentic, faulty or fake, and authentic initiatives, which project clear moral values and meet public expectations, are found to generate stronger perceptions of legitimacy and more positive behavioral willingness than the others.</w:t>
      </w:r>
    </w:p>
    <w:p>
      <w:pPr>
        <w:spacing w:line="360" w:lineRule="auto"/>
        <w:jc w:val="both"/>
        <w:rPr>
          <w:rFonts w:ascii="Times New Roman" w:hAnsi="Times New Roman" w:cs="Times New Roman"/>
        </w:rPr>
      </w:pPr>
      <w:r>
        <w:rPr>
          <w:rFonts w:ascii="Times New Roman" w:hAnsi="Times New Roman" w:cs="Times New Roman"/>
        </w:rPr>
        <w:t xml:space="preserve">The factual gap deserves particular attention here, because it is this review’s question expressed in the vocabulary of audience perception. Whether a company walks its talk is a question about the relationship between what an organization says outside and what it does inside. Yim treats that relationship as something publics detect, and measures how accurately they detect it. What the study does not ask is what makes the talk and the walk correspond in the first place.</w:t>
      </w:r>
    </w:p>
    <w:p>
      <w:pPr>
        <w:spacing w:line="360" w:lineRule="auto"/>
        <w:jc w:val="both"/>
        <w:rPr>
          <w:rFonts w:ascii="Times New Roman" w:hAnsi="Times New Roman" w:cs="Times New Roman"/>
        </w:rPr>
      </w:pPr>
      <w:r>
        <w:rPr>
          <w:rFonts w:ascii="Times New Roman" w:hAnsi="Times New Roman" w:cs="Times New Roman"/>
        </w:rPr>
        <w:t xml:space="preserve">O’Donnell, Ma, Lee and Choi (2025) arrive at a similar boundary from another direction. In a 4 × 2 experiment with 620 US adults concerning corporate social advocacy on environmental injustice, promise type was tested against leadership congruence, and the results “confirmed the importance of having leaders whose values align with company-endorsed causes” (p. 709). The strongest determinant of an external authenticity judgment turns out to be an internal condition: who the organization’s leaders are and what they are taken to believe.</w:t>
      </w:r>
    </w:p>
    <w:p>
      <w:pPr>
        <w:spacing w:line="360" w:lineRule="auto"/>
        <w:jc w:val="both"/>
        <w:rPr>
          <w:rFonts w:ascii="Times New Roman" w:hAnsi="Times New Roman" w:cs="Times New Roman"/>
        </w:rPr>
      </w:pPr>
      <w:r>
        <w:rPr>
          <w:rFonts w:ascii="Times New Roman" w:hAnsi="Times New Roman" w:cs="Times New Roman"/>
        </w:rPr>
        <w:t xml:space="preserve">Edwards (2010) supplies the strand’s critical counterweight, and a substantial one. Drawing on Bourdieu, Edwards argues that fields of production are competitive arenas in which organizations “attempt to secure symbolic power that will allow them to define the field’s parameters and norms in their own interests” (p. 199), and that communications professionals, “who try to define what is and is not authentic in a particular field, are implicated in these processes” (p. 199). The consequence is that audience judgments of authenticity are not made against neutral criteria. The criteria are themselves an outcome of competition, and the organizations being judged help to set them. Edwards further notes the exclusionary effects of this, since a definition of authenticity that serves some actors necessarily disqualifies others.</w:t>
      </w:r>
    </w:p>
    <w:p>
      <w:pPr>
        <w:spacing w:line="360" w:lineRule="auto"/>
        <w:jc w:val="both"/>
        <w:rPr>
          <w:rFonts w:ascii="Times New Roman" w:hAnsi="Times New Roman" w:cs="Times New Roman"/>
        </w:rPr>
      </w:pPr>
      <w:r>
        <w:rPr>
          <w:rFonts w:ascii="Times New Roman" w:hAnsi="Times New Roman" w:cs="Times New Roman"/>
        </w:rPr>
        <w:t xml:space="preserve">Taken together, this strand establishes that audiences do judge authenticity, that the judgment turns substantially on perceived consistency between what an organization says and what it does, and that the criteria of judgment are themselves contested. What the strand cannot do, by its own design, is explain how that consistency is produced. Measuring whether publics believe a company walks its talk says nothing about what walking the talk requires of the people who have to do the walking. That is the question taken up in the fourth strand.</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effect of communication</w:t>
      </w:r>
    </w:p>
    <w:p>
      <w:pPr>
        <w:spacing w:line="360" w:lineRule="auto"/>
        <w:jc w:val="both"/>
        <w:rPr>
          <w:rFonts w:ascii="Times New Roman" w:hAnsi="Times New Roman" w:cs="Times New Roman"/>
        </w:rPr>
      </w:pPr>
      <w:r>
        <w:rPr>
          <w:rFonts w:ascii="Times New Roman" w:hAnsi="Times New Roman" w:cs="Times New Roman"/>
        </w:rPr>
        <w:t xml:space="preserve">The first strand locates authenticity in the organization and the second in the perceiver. This strand asks what communication itself contributes: whether authenticity can be produced, transmitted or manufactured through communicative work. The literature here is more divided than it first appears, because its central assumption is one that part of the strand sets out to test.</w:t>
      </w:r>
    </w:p>
    <w:p>
      <w:pPr>
        <w:spacing w:line="360" w:lineRule="auto"/>
        <w:jc w:val="both"/>
        <w:rPr>
          <w:rFonts w:ascii="Times New Roman" w:hAnsi="Times New Roman" w:cs="Times New Roman"/>
        </w:rPr>
      </w:pPr>
      <w:r>
        <w:rPr>
          <w:rFonts w:ascii="Times New Roman" w:hAnsi="Times New Roman" w:cs="Times New Roman"/>
        </w:rPr>
        <w:t xml:space="preserve">Johansen and Gregersen (2024) state that assumption more clearly than anyone. They show that the dominant approach to organizational-level visual identity authenticity rests on three interrelated commitments: “that a real organizational identity essence exists; that it can and should be aligned with a corresponding visual identity; and that such visual identity can transmit the essence as part of strategic communication” (p. 405). The third commitment is this strand’s premise. If communication can transmit an organizational essence, then authenticity is something communication delivers. Drawing on interviews with ten agency strategists (p. 405), Johansen and Gregersen argue that the essentialist position should be supplemented by processual alternatives, and identify dynamic, aspirational and consumer-driven approaches alongside it (p. 405). An aspirational visual identity does not transmit what an organization is; it communicates what the organization intends to become.</w:t>
      </w:r>
    </w:p>
    <w:p>
      <w:pPr>
        <w:spacing w:line="360" w:lineRule="auto"/>
        <w:jc w:val="both"/>
        <w:rPr>
          <w:rFonts w:ascii="Times New Roman" w:hAnsi="Times New Roman" w:cs="Times New Roman"/>
        </w:rPr>
      </w:pPr>
      <w:r>
        <w:rPr>
          <w:rFonts w:ascii="Times New Roman" w:hAnsi="Times New Roman" w:cs="Times New Roman"/>
        </w:rPr>
        <w:t xml:space="preserve">Yang, Jiang and Kim (2023) represent the strand’s empirical mainstream, and work on the assumption Johansen and Gregersen question. Surveying consumer responses to real COVID-19 video advertisements, they found that “message authenticity significantly increased consumers’ perception of brand warmth, brand attitude, and engagement intention” (p. 259), through a path in which “authentic ads evoked positively valenced emotional responses” (p. 259). They are explicit that this operates at a different level from the measurement work discussed in the previous section, extending knowledge about authenticity “at the message level” rather than the brand level (p. 273). Authenticity here is a property of a message, and one that can be designed into it.</w:t>
      </w:r>
    </w:p>
    <w:p>
      <w:pPr>
        <w:spacing w:line="360" w:lineRule="auto"/>
        <w:jc w:val="both"/>
        <w:rPr>
          <w:rFonts w:ascii="Times New Roman" w:hAnsi="Times New Roman" w:cs="Times New Roman"/>
        </w:rPr>
      </w:pPr>
      <w:r>
        <w:rPr>
          <w:rFonts w:ascii="Times New Roman" w:hAnsi="Times New Roman" w:cs="Times New Roman"/>
        </w:rPr>
        <w:t xml:space="preserve">Sisson (2017) marks the strand’s limit case, because astroturfing is communicative work whose entire purpose is to produce authenticity where none exists. Citing Berkman, Sisson describes astroturfing as inauthentic grassroots communication that disseminates a “predetermined message … in a manner that makes each message appear authentic and original” (p. 788). The construction repays attention. The message is predetermined and centrally produced; the appearance of spontaneous, original, grassroots authenticity is the deliverable. Sisson’s own findings are narrower than this framing, reporting that “positivity and networking strategies have significant associations with dimensions of trust” (p. 788) in the news coverage analyzed. The conceptual contribution is the stronger one.</w:t>
      </w:r>
    </w:p>
    <w:p>
      <w:pPr>
        <w:spacing w:line="360" w:lineRule="auto"/>
        <w:jc w:val="both"/>
        <w:rPr>
          <w:rFonts w:ascii="Times New Roman" w:hAnsi="Times New Roman" w:cs="Times New Roman"/>
        </w:rPr>
      </w:pPr>
      <w:r>
        <w:rPr>
          <w:rFonts w:ascii="Times New Roman" w:hAnsi="Times New Roman" w:cs="Times New Roman"/>
        </w:rPr>
        <w:t xml:space="preserve">Placed in sequence, these three studies produce an uncomfortable result for the strand. If authenticity is a designable property of a message, as Yang and colleagues show, and if it can be manufactured wholesale by communication with nothing behind it, as astroturfing demonstrates, then communication alone cannot distinguish authentic messages from well-made appearances of authenticity. What separates the two is not a feature of the message. It is whether anything corresponds to it.</w:t>
      </w:r>
    </w:p>
    <w:p>
      <w:pPr>
        <w:spacing w:line="360" w:lineRule="auto"/>
        <w:jc w:val="both"/>
        <w:rPr>
          <w:rFonts w:ascii="Times New Roman" w:hAnsi="Times New Roman" w:cs="Times New Roman"/>
        </w:rPr>
      </w:pPr>
      <w:r>
        <w:rPr>
          <w:rFonts w:ascii="Times New Roman" w:hAnsi="Times New Roman" w:cs="Times New Roman"/>
        </w:rPr>
        <w:t xml:space="preserve">This is precisely where Johansen and Gregersen’s third commitment fails. Communication cannot transmit an essence to which it has no access, and no analysis conducted at the level of the message can establish whether that essence is there. The strand asks what communication produces and answers that it produces perception, which returns the question to where the second strand left it. What none of this work examines is what would have to be true inside an organization for its communication to be transmitting rather than manufacturing. The fourth strand turns to that.</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instrument of control over employees</w:t>
      </w:r>
    </w:p>
    <w:p>
      <w:pPr>
        <w:spacing w:line="360" w:lineRule="auto"/>
        <w:jc w:val="both"/>
        <w:rPr>
          <w:rFonts w:ascii="Times New Roman" w:hAnsi="Times New Roman" w:cs="Times New Roman"/>
        </w:rPr>
      </w:pPr>
      <w:r>
        <w:rPr>
          <w:rFonts w:ascii="Times New Roman" w:hAnsi="Times New Roman" w:cs="Times New Roman"/>
        </w:rPr>
        <w:t xml:space="preserve">The three strands above treat authenticity as something an organization possesses, something audiences grant, or something communication produces. A fourth body of work asks what an authenticity claim requires of the people who have to sustain it. This strand divides internally, between studies that find organizations restricting what employees may say and studies that find organizations shaping what employees say on the organization’s behalf.</w:t>
      </w:r>
    </w:p>
    <w:p>
      <w:pPr>
        <w:spacing w:line="360" w:lineRule="auto"/>
        <w:jc w:val="both"/>
        <w:rPr>
          <w:rFonts w:ascii="Times New Roman" w:hAnsi="Times New Roman" w:cs="Times New Roman"/>
        </w:rPr>
      </w:pPr>
      <w:r>
        <w:rPr>
          <w:rFonts w:ascii="Times New Roman" w:hAnsi="Times New Roman" w:cs="Times New Roman"/>
        </w:rPr>
        <w:t xml:space="preserve">Dahle and Wæraas (2020) give the clearest case of restriction. Studying fifteen Oslo high schools competing for students and funding under marketization, they found that “voice restrictions, not brand ambassadorship, was the preferred strategy to ensure brand alignment” (p. 259). Message control, they conclude, is “a crucial means of creating brand alignment in the public sector” (p. 272). They are careful about which kind of control this is: it is technocratic, and “does not reflect the type of normative control demonstrated by studies of branding in other settings such as high-tech firms” (p. 272). Their concern is that where brand image dominates, public sector communication becomes “more self-centred and censored” (p. 273), which for organizations whose communication is meant to serve the public interest is a substantial cost.</w:t>
      </w:r>
    </w:p>
    <w:p>
      <w:pPr>
        <w:spacing w:line="360" w:lineRule="auto"/>
        <w:jc w:val="both"/>
        <w:rPr>
          <w:rFonts w:ascii="Times New Roman" w:hAnsi="Times New Roman" w:cs="Times New Roman"/>
        </w:rPr>
      </w:pPr>
      <w:r>
        <w:rPr>
          <w:rFonts w:ascii="Times New Roman" w:hAnsi="Times New Roman" w:cs="Times New Roman"/>
        </w:rPr>
        <w:t xml:space="preserve">Hansen, Jensen and Maagaard (2022) show the second form, and show it operating through invitation rather than restriction. Their longitudinal case study examines how “employees’ communicative labour is used by brand management to constitute CSR as an embedded part of the corporate brand” (p. 584). Employees’ voluntary activities outside work are gathered as stories for the corporate brand. Management silences no one; it functions as what the authors call a practical author, attempting “to author a coherent and shared brand narrative by highlighting some preferred discourses over others” (p. 584). The mechanism is visible in the detail: employees are given “reassurances that all projects, regardless of size and scope, are equally valued, which, however, are contradicted by the reward of a winning project each year” (p. 595). The invitation to co-create is genuine, and it is also managed.</w:t>
      </w:r>
    </w:p>
    <w:p>
      <w:pPr>
        <w:spacing w:line="360" w:lineRule="auto"/>
        <w:jc w:val="both"/>
        <w:rPr>
          <w:rFonts w:ascii="Times New Roman" w:hAnsi="Times New Roman" w:cs="Times New Roman"/>
        </w:rPr>
      </w:pPr>
      <w:r>
        <w:rPr>
          <w:rFonts w:ascii="Times New Roman" w:hAnsi="Times New Roman" w:cs="Times New Roman"/>
        </w:rPr>
        <w:t xml:space="preserve">Placed side by side, these two studies describe the same problem solved in opposite directions. One organization secures a consistent external claim by limiting employee voice; the other secures it by inviting employee voice and then selecting from it. In both cases the external claim is produced internally, and in both cases that production is managed.</w:t>
      </w:r>
    </w:p>
    <w:p>
      <w:pPr>
        <w:spacing w:line="360" w:lineRule="auto"/>
        <w:jc w:val="both"/>
        <w:rPr>
          <w:rFonts w:ascii="Times New Roman" w:hAnsi="Times New Roman" w:cs="Times New Roman"/>
        </w:rPr>
      </w:pPr>
      <w:r>
        <w:rPr>
          <w:rFonts w:ascii="Times New Roman" w:hAnsi="Times New Roman" w:cs="Times New Roman"/>
        </w:rPr>
        <w:t xml:space="preserve">This is the dynamic Christensen and Cornelissen (2011) anticipate at the level of theory. Writing against “the prevailing propensity of contemporary management to focus on consistency in corporate messages” (p. 402), they report the argument that corporate communication, while “seemingly celebrating employee involvement,” in fact “advances a type of employee regulation” (p. 394), and they conclude that an organization “is neither a single unit nor can it be managed and controlled as such” (pp. 394–395). Hansen et al. give that claim an empirical form: celebrating involvement and regulating involvement are not alternatives but the same activity.</w:t>
      </w:r>
    </w:p>
    <w:p>
      <w:pPr>
        <w:spacing w:line="360" w:lineRule="auto"/>
        <w:jc w:val="both"/>
        <w:rPr>
          <w:rFonts w:ascii="Times New Roman" w:hAnsi="Times New Roman" w:cs="Times New Roman"/>
        </w:rPr>
      </w:pPr>
      <w:r>
        <w:rPr>
          <w:rFonts w:ascii="Times New Roman" w:hAnsi="Times New Roman" w:cs="Times New Roman"/>
        </w:rPr>
        <w:t xml:space="preserve">Not all of this strand is critical. Lee et al. (2024) study corporate social advocacy from the inside and find that employees’ perceptions of organizational justice shape whether they judge their employer’s external advocacy authentic, and that perceived authenticity in turn increases supportive behavior. On their account the internal condition for a credible external claim is neither silence nor curation but fairness. Wilcox and Rajasekar (2026) complicate the picture further. Studying diversity initiatives in the technology industry, they find employees sceptical of their own organizations’ claims, and argue that “(in)authenticity can serve as a unifying concern” across employees of different races and genders. Employees are not only the instrument of an authenticity claim; they are also among its most demanding audiences.</w:t>
      </w:r>
    </w:p>
    <w:p>
      <w:pPr>
        <w:spacing w:line="360" w:lineRule="auto"/>
        <w:jc w:val="both"/>
        <w:rPr>
          <w:rFonts w:ascii="Times New Roman" w:hAnsi="Times New Roman" w:cs="Times New Roman"/>
        </w:rPr>
      </w:pPr>
      <w:r>
        <w:rPr>
          <w:rFonts w:ascii="Times New Roman" w:hAnsi="Times New Roman" w:cs="Times New Roman"/>
        </w:rPr>
        <w:t xml:space="preserve">Read against the first research question, this strand gives the sharpest answer of the four. What has to happen inside an organization for a claim made outside it to hold is not, in this literature, alignment. It is the management of employee voice, whether by restriction or by selection, and the evidence from Lee et al. and from Wilcox and Rajasekar suggests that employees notice which.</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Dahle, D. Y., &amp; Wæraas, A. (2020). Silence from the brands: Message control, brand ambassadorship, and the public interest. </w:t>
      </w:r>
      <w:r>
        <w:rPr>
          <w:i/>
          <w:rFonts w:ascii="Times New Roman" w:hAnsi="Times New Roman" w:cs="Times New Roman"/>
        </w:rPr>
        <w:t xml:space="preserve">International Journal of Organization Theory &amp; Behavior, 23</w:t>
      </w:r>
      <w:r>
        <w:rPr>
          <w:rFonts w:ascii="Times New Roman" w:hAnsi="Times New Roman" w:cs="Times New Roman"/>
        </w:rPr>
        <w:t xml:space="preserve">(3), 259–280. https://doi.org/10.1108/IJOTB-05-2019-0060</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(2026).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(2011). “Being yourself” in the electronic sweatshop: New forms of normative control. </w:t>
      </w:r>
      <w:r>
        <w:rPr>
          <w:i/>
          <w:rFonts w:ascii="Times New Roman" w:hAnsi="Times New Roman" w:cs="Times New Roman"/>
        </w:rPr>
        <w:t xml:space="preserve">Human Relations, 64</w:t>
      </w:r>
      <w:r>
        <w:rPr>
          <w:rFonts w:ascii="Times New Roman" w:hAnsi="Times New Roman" w:cs="Times New Roman"/>
        </w:rPr>
        <w:t xml:space="preserve">(2), 177–200. https://doi.org/10.1177/0018726710375481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O’Donnell, N., Ma, Y., Lee, Y.-J., &amp; Choi, M. (2025). Corporate social advocacy and brand authenticity: Evaluating the influences of promise types and value congruence. </w:t>
      </w:r>
      <w:r>
        <w:rPr>
          <w:i/>
          <w:rFonts w:ascii="Times New Roman" w:hAnsi="Times New Roman" w:cs="Times New Roman"/>
        </w:rPr>
        <w:t xml:space="preserve">Journal of Marketing Communications, 31</w:t>
      </w:r>
      <w:r>
        <w:rPr>
          <w:rFonts w:ascii="Times New Roman" w:hAnsi="Times New Roman" w:cs="Times New Roman"/>
        </w:rPr>
        <w:t xml:space="preserve">(7), 709–725. https://doi.org/10.1080/13527266.2023.2275724</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Sisson, D. C. (2017). Inauthentic communication, organization-public relationships, and trust: A content analysis of online astroturfing news coverage. </w:t>
      </w:r>
      <w:r>
        <w:rPr>
          <w:i/>
          <w:rFonts w:ascii="Times New Roman" w:hAnsi="Times New Roman" w:cs="Times New Roman"/>
        </w:rPr>
        <w:t xml:space="preserve">Public Relations Review, 43</w:t>
      </w:r>
      <w:r>
        <w:rPr>
          <w:rFonts w:ascii="Times New Roman" w:hAnsi="Times New Roman" w:cs="Times New Roman"/>
        </w:rPr>
        <w:t xml:space="preserve">(4), 788–795. https://doi.org/10.1016/j.pubrev.2017.05.003</w:t>
      </w:r>
    </w:p>
    <w:p>
      <w:pPr>
        <w:spacing w:line="360" w:lineRule="auto"/>
        <w:jc w:val="both"/>
        <w:rPr>
          <w:rFonts w:ascii="Times New Roman" w:hAnsi="Times New Roman" w:cs="Times New Roman"/>
        </w:rPr>
        <w:ind w:left="720" w:hanging="720"/>
      </w:pPr>
      <w:r>
        <w:rPr>
          <w:rFonts w:ascii="Times New Roman" w:hAnsi="Times New Roman" w:cs="Times New Roman"/>
        </w:rPr>
        <w:t xml:space="preserve">Wæraas, A., &amp; Dahle, D. Y. (2020). When reputation management is people management: Implications for employee voice. </w:t>
      </w:r>
      <w:r>
        <w:rPr>
          <w:i/>
          <w:rFonts w:ascii="Times New Roman" w:hAnsi="Times New Roman" w:cs="Times New Roman"/>
        </w:rPr>
        <w:t xml:space="preserve">European Management Journal, 38</w:t>
      </w:r>
      <w:r>
        <w:rPr>
          <w:rFonts w:ascii="Times New Roman" w:hAnsi="Times New Roman" w:cs="Times New Roman"/>
        </w:rPr>
        <w:t xml:space="preserve">(2), 277–287. https://doi.org/10.1016/j.emj.2019.08.010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p>
      <w:pPr>
        <w:spacing w:line="360" w:lineRule="auto"/>
        <w:jc w:val="both"/>
        <w:rPr>
          <w:rFonts w:ascii="Times New Roman" w:hAnsi="Times New Roman" w:cs="Times New Roman"/>
        </w:rPr>
        <w:ind w:left="720" w:hanging="720"/>
      </w:pPr>
      <w:r>
        <w:rPr>
          <w:rFonts w:ascii="Times New Roman" w:hAnsi="Times New Roman" w:cs="Times New Roman"/>
        </w:rPr>
        <w:t xml:space="preserve">Yang, J., Jiang, M., &amp; Kim, T. (2023). “Authentic warmth in these uncertain times”: The impact of authenticity in COVID-19 advertising on brand warmth and consumer responses. </w:t>
      </w:r>
      <w:r>
        <w:rPr>
          <w:i/>
          <w:rFonts w:ascii="Times New Roman" w:hAnsi="Times New Roman" w:cs="Times New Roman"/>
        </w:rPr>
        <w:t xml:space="preserve">Journal of Promotion Management, 29</w:t>
      </w:r>
      <w:r>
        <w:rPr>
          <w:rFonts w:ascii="Times New Roman" w:hAnsi="Times New Roman" w:cs="Times New Roman"/>
        </w:rPr>
        <w:t xml:space="preserve">(2), 259–279. https://doi.org/10.1080/10496491.2022.2143988</w:t>
      </w:r>
    </w:p>
    <w:p>
      <w:pPr>
        <w:spacing w:line="360" w:lineRule="auto"/>
        <w:jc w:val="both"/>
        <w:rPr>
          <w:rFonts w:ascii="Times New Roman" w:hAnsi="Times New Roman" w:cs="Times New Roman"/>
        </w:rPr>
        <w:ind w:left="720" w:hanging="720"/>
      </w:pPr>
      <w:r>
        <w:rPr>
          <w:rFonts w:ascii="Times New Roman" w:hAnsi="Times New Roman" w:cs="Times New Roman"/>
        </w:rPr>
        <w:t xml:space="preserve">Yim, M. C. (2021). Fake, faulty, and authentic stand-taking: What determines the legitimacy of corporate social advocacy? </w:t>
      </w:r>
      <w:r>
        <w:rPr>
          <w:i/>
          <w:rFonts w:ascii="Times New Roman" w:hAnsi="Times New Roman" w:cs="Times New Roman"/>
        </w:rPr>
        <w:t xml:space="preserve">International Journal of Strategic Communication, 15</w:t>
      </w:r>
      <w:r>
        <w:rPr>
          <w:rFonts w:ascii="Times New Roman" w:hAnsi="Times New Roman" w:cs="Times New Roman"/>
        </w:rPr>
        <w:t xml:space="preserve">(1), 60–76. https://doi.org/10.1080/1553118X.2020.1856853</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