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21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14:paraId="595BA2B2" w14:textId="364C0F12" w:rsidR="001B0399" w:rsidRPr="001C3D26" w:rsidRDefault="001B0399" w:rsidP="007F6107">
      <w:pPr>
        <w:spacing w:line="360" w:lineRule="auto"/>
        <w:jc w:val="both"/>
        <w:rPr>
          <w:rFonts w:ascii="Times New Roman" w:hAnsi="Times New Roman" w:cs="Times New Roman"/>
        </w:rPr>
      </w:pPr>
      <w:r w:rsidRPr="001C3D26">
        <w:rPr>
          <w:rFonts w:ascii="Times New Roman" w:hAnsi="Times New Roman" w:cs="Times New Roman"/>
        </w:rPr>
        <w:t>To be strategic is, by definition,</w:t>
      </w:r>
      <w:r w:rsidR="0081531E">
        <w:rPr>
          <w:rFonts w:ascii="Times New Roman" w:hAnsi="Times New Roman" w:cs="Times New Roman"/>
        </w:rPr>
        <w:t xml:space="preserve"> </w:t>
      </w:r>
      <w:r w:rsidRPr="001C3D26">
        <w:rPr>
          <w:rFonts w:ascii="Times New Roman" w:hAnsi="Times New Roman" w:cs="Times New Roman"/>
        </w:rPr>
        <w:t>to make intentional choices</w:t>
      </w:r>
      <w:r w:rsidR="00CA5E3B" w:rsidRPr="001C3D26">
        <w:rPr>
          <w:rFonts w:ascii="Times New Roman" w:hAnsi="Times New Roman" w:cs="Times New Roman"/>
        </w:rPr>
        <w:t xml:space="preserve">: to decide what to communicate, to whom, through which channels and for what purposes (Gulbrandsen &amp; Just, 2020). Authenticity, however, is commonly associated with qualities such as genuineness, originality and being “real” (Johansen &amp; Gregersen, 2024). These two ideas do not </w:t>
      </w:r>
      <w:r w:rsidR="00142183" w:rsidRPr="001C3D26">
        <w:rPr>
          <w:rFonts w:ascii="Times New Roman" w:hAnsi="Times New Roman" w:cs="Times New Roman"/>
        </w:rPr>
        <w:t>necessarily</w:t>
      </w:r>
      <w:r w:rsidR="00CA5E3B" w:rsidRPr="001C3D26">
        <w:rPr>
          <w:rFonts w:ascii="Times New Roman" w:hAnsi="Times New Roman" w:cs="Times New Roman"/>
        </w:rPr>
        <w:t xml:space="preserve"> appear incompatible, but their combination raises </w:t>
      </w:r>
      <w:r w:rsidR="00142183" w:rsidRPr="001C3D26">
        <w:rPr>
          <w:rFonts w:ascii="Times New Roman" w:hAnsi="Times New Roman" w:cs="Times New Roman"/>
        </w:rPr>
        <w:t xml:space="preserve">two </w:t>
      </w:r>
      <w:r w:rsidR="004D0C5C" w:rsidRPr="001C3D26">
        <w:rPr>
          <w:rFonts w:ascii="Times New Roman" w:hAnsi="Times New Roman" w:cs="Times New Roman"/>
        </w:rPr>
        <w:t>questions</w:t>
      </w:r>
      <w:r w:rsidR="00CA5E3B" w:rsidRPr="001C3D26">
        <w:rPr>
          <w:rFonts w:ascii="Times New Roman" w:hAnsi="Times New Roman" w:cs="Times New Roman"/>
        </w:rPr>
        <w:t>: What happens when an organization deliberately communicates that it</w:t>
      </w:r>
      <w:r w:rsidR="00B16C43" w:rsidRPr="001C3D26">
        <w:rPr>
          <w:rFonts w:ascii="Times New Roman" w:hAnsi="Times New Roman" w:cs="Times New Roman"/>
        </w:rPr>
        <w:t xml:space="preserve"> is </w:t>
      </w:r>
      <w:r w:rsidR="00CA5E3B" w:rsidRPr="001C3D26">
        <w:rPr>
          <w:rFonts w:ascii="Times New Roman" w:hAnsi="Times New Roman" w:cs="Times New Roman"/>
        </w:rPr>
        <w:t>authentic?</w:t>
      </w:r>
      <w:r w:rsidR="00142183" w:rsidRPr="001C3D26">
        <w:rPr>
          <w:rFonts w:ascii="Times New Roman" w:hAnsi="Times New Roman" w:cs="Times New Roman"/>
        </w:rPr>
        <w:t xml:space="preserve">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14:paraId="76AEBA00" w14:textId="77777777"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 xml:space="preserve">What </w:t>
      </w:r>
      <w:r w:rsidR="00BA02D5" w:rsidRPr="001C3D26">
        <w:rPr>
          <w:rFonts w:ascii="Times New Roman" w:hAnsi="Times New Roman" w:cs="Times New Roman"/>
        </w:rPr>
        <w:t>happens when the authenticity an organization communicates externally has to be produced, performed, and maintained internally</w:t>
      </w:r>
      <w:r w:rsidR="009A6AF7" w:rsidRPr="001C3D26">
        <w:rPr>
          <w:rFonts w:ascii="Times New Roman" w:hAnsi="Times New Roman" w:cs="Times New Roman"/>
        </w:rPr>
        <w:t xml:space="preserve">? </w:t>
      </w:r>
    </w:p>
    <w:p w14:paraId="08A783B1" w14:textId="1EC4C44C"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W</w:t>
      </w:r>
      <w:r w:rsidR="00565103" w:rsidRPr="001C3D26">
        <w:rPr>
          <w:rFonts w:ascii="Times New Roman" w:hAnsi="Times New Roman" w:cs="Times New Roman"/>
        </w:rPr>
        <w:t xml:space="preserve">hat does </w:t>
      </w:r>
      <w:r w:rsidR="008836D0">
        <w:rPr>
          <w:rFonts w:ascii="Times New Roman" w:hAnsi="Times New Roman" w:cs="Times New Roman"/>
        </w:rPr>
        <w:t>the literature suggest ha</w:t>
      </w:r>
      <w:r w:rsidR="00565103" w:rsidRPr="001C3D26">
        <w:rPr>
          <w:rFonts w:ascii="Times New Roman" w:hAnsi="Times New Roman" w:cs="Times New Roman"/>
        </w:rPr>
        <w:t>ppen</w:t>
      </w:r>
      <w:r w:rsidRPr="001C3D26">
        <w:rPr>
          <w:rFonts w:ascii="Times New Roman" w:hAnsi="Times New Roman" w:cs="Times New Roman"/>
        </w:rPr>
        <w:t>s</w:t>
      </w:r>
      <w:r w:rsidR="00565103" w:rsidRPr="001C3D26">
        <w:rPr>
          <w:rFonts w:ascii="Times New Roman" w:hAnsi="Times New Roman" w:cs="Times New Roman"/>
        </w:rPr>
        <w:t xml:space="preserve"> when the in</w:t>
      </w:r>
      <w:r w:rsidR="008836D0">
        <w:rPr>
          <w:rFonts w:ascii="Times New Roman" w:hAnsi="Times New Roman" w:cs="Times New Roman"/>
        </w:rPr>
        <w:t xml:space="preserve">ternal organizational practices and experiences </w:t>
      </w:r>
      <w:r w:rsidR="00AA2B28">
        <w:rPr>
          <w:rFonts w:ascii="Times New Roman" w:hAnsi="Times New Roman" w:cs="Times New Roman"/>
        </w:rPr>
        <w:t>do</w:t>
      </w:r>
      <w:r w:rsidR="008836D0">
        <w:rPr>
          <w:rFonts w:ascii="Times New Roman" w:hAnsi="Times New Roman" w:cs="Times New Roman"/>
        </w:rPr>
        <w:t xml:space="preserve"> not match the externally communicated authenticity</w:t>
      </w:r>
      <w:r w:rsidR="00565103" w:rsidRPr="001C3D26">
        <w:rPr>
          <w:rFonts w:ascii="Times New Roman" w:hAnsi="Times New Roman" w:cs="Times New Roman"/>
        </w:rPr>
        <w:t>?</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pPr>
        <w:spacing w:line="360" w:lineRule="auto"/>
        <w:jc w:val="both"/>
        <w:rPr>
          <w:rFonts w:ascii="Times New Roman" w:hAnsi="Times New Roman" w:cs="Times New Roman"/>
          <w:b/>
          <w:bCs/>
        </w:rPr>
      </w:pPr>
      <w:r>
        <w:rPr>
          <w:rFonts w:ascii="Times New Roman" w:hAnsi="Times New Roman" w:cs="Times New Roman"/>
          <w:b/>
          <w:bCs/>
        </w:rPr>
        <w:t xml:space="preserve">Method</w:t>
      </w:r>
    </w:p>
    <w:p>
      <w:pPr>
        <w:spacing w:line="360" w:lineRule="auto"/>
        <w:jc w:val="both"/>
        <w:rPr>
          <w:rFonts w:ascii="Times New Roman" w:hAnsi="Times New Roman" w:cs="Times New Roman"/>
        </w:rPr>
      </w:pPr>
      <w:r>
        <w:rPr>
          <w:rFonts w:ascii="Times New Roman" w:hAnsi="Times New Roman" w:cs="Times New Roman"/>
        </w:rPr>
        <w:t xml:space="preserve">The literature for this review was identified through searches conducted via the Örebro University Library, primarily in Scopus and Communication &amp; Mass Media Complete (CMMC). Searches were limited to peer-reviewed articles published in English with no date restriction applied.</w:t>
      </w:r>
    </w:p>
    <w:p>
      <w:pPr>
        <w:spacing w:line="360" w:lineRule="auto"/>
        <w:jc w:val="both"/>
        <w:rPr>
          <w:rFonts w:ascii="Times New Roman" w:hAnsi="Times New Roman" w:cs="Times New Roman"/>
        </w:rPr>
      </w:pPr>
      <w:r>
        <w:rPr>
          <w:rFonts w:ascii="Times New Roman" w:hAnsi="Times New Roman" w:cs="Times New Roman"/>
        </w:rPr>
        <w:t xml:space="preserve">The initial search strategy combined the main concepts of the review in a single string: strategic* AND authentic* AND claim* AND (“internal communication” AND “external communication”). As this returned no results, the search strategy was thereafter broadened and divided into several conceptually related searches, each addressing one part of the review.</w:t>
      </w:r>
    </w:p>
    <w:p>
      <w:pPr>
        <w:spacing w:line="360" w:lineRule="auto"/>
        <w:jc w:val="both"/>
        <w:rPr>
          <w:rFonts w:ascii="Times New Roman" w:hAnsi="Times New Roman" w:cs="Times New Roman"/>
        </w:rPr>
      </w:pPr>
      <w:r>
        <w:rPr>
          <w:rFonts w:ascii="Times New Roman" w:hAnsi="Times New Roman" w:cs="Times New Roman"/>
        </w:rPr>
        <w:t xml:space="preserve">The searches included combinations of terms relating to authenticity and organizational communication:</w:t>
      </w:r>
    </w:p>
    <w:p>
      <w:pPr>
        <w:spacing w:line="360" w:lineRule="auto" w:after="0"/>
        <w:ind w:left="720" w:hanging="360"/>
      </w:pPr>
      <w:r>
        <w:rPr>
          <w:rFonts w:ascii="Times New Roman" w:hAnsi="Times New Roman" w:cs="Times New Roman"/>
        </w:rPr>
        <w:t xml:space="preserve">•  authenticity AND (“organizational communication” OR “organisational communication”)</w:t>
      </w:r>
    </w:p>
    <w:p>
      <w:pPr>
        <w:spacing w:line="360" w:lineRule="auto" w:after="0"/>
        <w:ind w:left="720" w:hanging="360"/>
      </w:pPr>
      <w:r>
        <w:rPr>
          <w:rFonts w:ascii="Times New Roman" w:hAnsi="Times New Roman" w:cs="Times New Roman"/>
        </w:rPr>
        <w:t xml:space="preserve">•  authentic* AND (“strategic communication” OR “corporate communication” OR “organizational communication” OR “CSR communication” OR “brand communication”)</w:t>
      </w:r>
    </w:p>
    <w:p>
      <w:pPr>
        <w:spacing w:line="360" w:lineRule="auto" w:after="0"/>
        <w:ind w:left="720" w:hanging="360"/>
      </w:pPr>
      <w:r>
        <w:rPr>
          <w:rFonts w:ascii="Times New Roman" w:hAnsi="Times New Roman" w:cs="Times New Roman"/>
        </w:rPr>
        <w:t xml:space="preserve">•  “organizational authenticity” OR “corporate authenticity” OR “authentic organization*”</w:t>
      </w:r>
    </w:p>
    <w:p>
      <w:pPr>
        <w:spacing w:line="360" w:lineRule="auto" w:after="0"/>
        <w:ind w:left="720" w:hanging="360"/>
      </w:pPr>
      <w:r>
        <w:rPr>
          <w:rFonts w:ascii="Times New Roman" w:hAnsi="Times New Roman" w:cs="Times New Roman"/>
        </w:rPr>
        <w:t xml:space="preserve">•  (“brand authenticity” OR “perceived authenticity”) AND (consumer* OR stakeholder* OR audience* OR public*)</w:t>
      </w:r>
    </w:p>
    <w:p>
      <w:pPr>
        <w:spacing w:line="360" w:lineRule="auto" w:after="0"/>
        <w:ind w:left="720" w:hanging="360"/>
      </w:pPr>
      <w:r>
        <w:rPr>
          <w:rFonts w:ascii="Times New Roman" w:hAnsi="Times New Roman" w:cs="Times New Roman"/>
        </w:rPr>
        <w:t xml:space="preserve">•  (“internal branding” OR “employer brand*” OR “corporate brand*”) AND (control OR “identity regulation” OR “identity work”)</w:t>
      </w:r>
    </w:p>
    <w:p>
      <w:pPr>
        <w:spacing w:line="360" w:lineRule="auto"/>
        <w:jc w:val="both"/>
        <w:rPr>
          <w:rFonts w:ascii="Times New Roman" w:hAnsi="Times New Roman" w:cs="Times New Roman"/>
        </w:rPr>
      </w:pPr>
      <w:r>
        <w:rPr>
          <w:rFonts w:ascii="Times New Roman" w:hAnsi="Times New Roman" w:cs="Times New Roman"/>
        </w:rPr>
        <w:t xml:space="preserve">A further search combining the same branding terms with “normative control” returned no results. This indicates that research treating authenticity as a form of employee control does not use the vocabulary of communication studies, but describes itself instead as work on normative control, identity regulation and identity work. That literature was reached through the broader phrasing above.</w:t>
      </w:r>
    </w:p>
    <w:p>
      <w:pPr>
        <w:spacing w:line="360" w:lineRule="auto"/>
        <w:jc w:val="both"/>
        <w:rPr>
          <w:rFonts w:ascii="Times New Roman" w:hAnsi="Times New Roman" w:cs="Times New Roman"/>
        </w:rPr>
      </w:pPr>
      <w:r>
        <w:rPr>
          <w:rFonts w:ascii="Times New Roman" w:hAnsi="Times New Roman" w:cs="Times New Roman"/>
        </w:rPr>
        <w:t xml:space="preserve">The searches produced 1,099 results in total, from which 32 papers were selected for closer analysis. The selection was based on relevance to organizational authenticity and its relationship with strategic communication, organizational communication, internal practices and employee experiences. Studies primarily concerned with individual authenticity, consumer or product authenticity, or contexts unrelated to organizational communication were excluded.</w:t>
      </w:r>
    </w:p>
    <w:p>
      <w:pPr>
        <w:spacing w:line="360" w:lineRule="auto"/>
        <w:jc w:val="both"/>
        <w:rPr>
          <w:rFonts w:ascii="Times New Roman" w:hAnsi="Times New Roman" w:cs="Times New Roman"/>
        </w:rPr>
      </w:pPr>
      <w:r>
        <w:rPr>
          <w:rFonts w:ascii="Times New Roman" w:hAnsi="Times New Roman" w:cs="Times New Roman"/>
        </w:rPr>
        <w:t xml:space="preserve">The selected literature was organized thematically according to where each strand places authenticity: as a property of the organization, as a judgment made by audiences, as an effect of communication, and as an instrument of control over employees.</w:t>
      </w:r>
    </w:p>
    <w:p>
      <w:pPr>
        <w:spacing w:line="360" w:lineRule="auto"/>
        <w:jc w:val="both"/>
        <w:rPr>
          <w:rFonts w:ascii="Times New Roman" w:hAnsi="Times New Roman" w:cs="Times New Roman"/>
          <w:b/>
          <w:bCs/>
        </w:rPr>
      </w:pPr>
      <w:r>
        <w:rPr>
          <w:rFonts w:ascii="Times New Roman" w:hAnsi="Times New Roman" w:cs="Times New Roman"/>
          <w:b/>
          <w:bCs/>
        </w:rPr>
        <w:t xml:space="preserve">Results</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property of the organization</w:t>
      </w:r>
    </w:p>
    <w:p>
      <w:pPr>
        <w:spacing w:line="360" w:lineRule="auto"/>
        <w:jc w:val="both"/>
        <w:rPr>
          <w:rFonts w:ascii="Times New Roman" w:hAnsi="Times New Roman" w:cs="Times New Roman"/>
        </w:rPr>
      </w:pPr>
      <w:r>
        <w:rPr>
          <w:rFonts w:ascii="Times New Roman" w:hAnsi="Times New Roman" w:cs="Times New Roman"/>
        </w:rPr>
        <w:t xml:space="preserve">One of the most common ways of approaching organizational authenticity is to treat it as something that can be assessed through the relationship between what an organization says and what it actually does. Authenticity is, from this perspective, a matter of consistency between organizational values, claims, behavior and practices.</w:t>
      </w:r>
    </w:p>
    <w:p>
      <w:pPr>
        <w:spacing w:line="360" w:lineRule="auto"/>
        <w:jc w:val="both"/>
        <w:rPr>
          <w:rFonts w:ascii="Times New Roman" w:hAnsi="Times New Roman" w:cs="Times New Roman"/>
        </w:rPr>
      </w:pPr>
      <w:r>
        <w:rPr>
          <w:rFonts w:ascii="Times New Roman" w:hAnsi="Times New Roman" w:cs="Times New Roman"/>
        </w:rPr>
        <w:t xml:space="preserve">Molleda (2010) provides a clear example of this approach. Authenticity is conceptualized as multidimensional, but particular attention is given to the consistency between an organization’s authenticity claims, its offerings and promises, and its management philosophy and behavior. Communicating that an organization is something is therefore not enough: the claim needs to correspond with what the organization actually provides and how it behaves. This places limits on what communication can achieve by itself. An organization may construct a message about who it is, but that message does not exist independently of its actions. Molleda (2010) also brings stakeholders into the process: they interpret the messages and actions and ultimately respond to whether they consider the claim credible. A tension between organizational intention and external judgment is therefore present from the outset.</w:t>
      </w:r>
    </w:p>
    <w:p>
      <w:pPr>
        <w:spacing w:line="360" w:lineRule="auto"/>
        <w:jc w:val="both"/>
        <w:rPr>
          <w:rFonts w:ascii="Times New Roman" w:hAnsi="Times New Roman" w:cs="Times New Roman"/>
        </w:rPr>
      </w:pPr>
      <w:r>
        <w:rPr>
          <w:rFonts w:ascii="Times New Roman" w:hAnsi="Times New Roman" w:cs="Times New Roman"/>
        </w:rPr>
        <w:t xml:space="preserve">Eldor (2026) takes the consistency argument further by placing employees at the center of the evaluation, defining organizational authenticity as “the consistency between an organization’s espoused values and its lived practices” (p. 1435). The definition repays attention, because it does not describe a quality. It describes a relation between two things the organization does. And because espoused values are communicated outward while lived practices are enacted inward, the definition is already a statement about the relationship between external communication and internal conduct.</w:t>
      </w:r>
    </w:p>
    <w:p>
      <w:pPr>
        <w:spacing w:line="360" w:lineRule="auto"/>
        <w:jc w:val="both"/>
        <w:rPr>
          <w:rFonts w:ascii="Times New Roman" w:hAnsi="Times New Roman" w:cs="Times New Roman"/>
        </w:rPr>
      </w:pPr>
      <w:r>
        <w:rPr>
          <w:rFonts w:ascii="Times New Roman" w:hAnsi="Times New Roman" w:cs="Times New Roman"/>
        </w:rPr>
        <w:t xml:space="preserve">This is why the employee perspective matters. Employees do not encounter organizational values only through official statements or corporate communication. They encounter them through everyday routines, workplace practices, treatment and the ways in which values are actually enacted. Eldor (2026) argues that employees therefore hold “a more comprehensive and fine-grained perception of whether espoused values and lived practices of the organization are aligned... a perception that is less available to external stakeholders such as clients” (p. 1436). If authenticity is correspondence between an outward claim and inward conduct, the people inside the organization are the better placed judges of it. Yet the same article notes that while “the authenticity literature has paid much attention to external stakeholders (e.g., clients), the notion of organizational authenticity perceptions of an important stakeholder [employees] has been understudied” (p. 1435). The audience best positioned to assess the claim is the one the literature has examined least.</w:t>
      </w:r>
    </w:p>
    <w:p>
      <w:pPr>
        <w:spacing w:line="360" w:lineRule="auto"/>
        <w:jc w:val="both"/>
        <w:rPr>
          <w:rFonts w:ascii="Times New Roman" w:hAnsi="Times New Roman" w:cs="Times New Roman"/>
        </w:rPr>
      </w:pPr>
      <w:r>
        <w:rPr>
          <w:rFonts w:ascii="Times New Roman" w:hAnsi="Times New Roman" w:cs="Times New Roman"/>
        </w:rPr>
        <w:t xml:space="preserve">Lehman et al. (2019) show that consistency is only one basis on which authenticity is claimed. Their review of management research identifies three distinct perspectives: authenticity as “consistency between an entity’s internal values and its external expressions”, as “conformity of an entity to the norms of its social category”, and as “connection between an entity and a person, place, or time as claimed” (p. 1). What separates them is the referent, the “to what?” against which the entity is judged (p. 2). Under consistency the referent is the entity itself; under conformity and connection it lies outside the entity. Defining authenticity as a matter of matching words to actions therefore captures one perspective rather than the field, and what counts as authentic depends partly on what the organization is being compared against.</w:t>
      </w:r>
    </w:p>
    <w:p>
      <w:pPr>
        <w:spacing w:line="360" w:lineRule="auto"/>
        <w:jc w:val="both"/>
        <w:rPr>
          <w:rFonts w:ascii="Times New Roman" w:hAnsi="Times New Roman" w:cs="Times New Roman"/>
        </w:rPr>
      </w:pPr>
      <w:r>
        <w:rPr>
          <w:rFonts w:ascii="Times New Roman" w:hAnsi="Times New Roman" w:cs="Times New Roman"/>
        </w:rPr>
        <w:t xml:space="preserve">Two features of that review bear directly on this one. The consistency perspective rests on what Lehman et al. (2019) trace to Goffman’s theatrical distinction between the “backstage” and the “front stage,” where each version of the perspective “assumes that the backstage represents the ‘true self,’ whereas the front stage may or may not be an accurate portrayal of it” (p. 7). Read at the organizational level, the front stage is what is communicated outward and the backstage is what is done internally, which is the relationship this review examines. The conclusion Lehman et al. (2019) reach, however, moves away from treating authenticity as a property at all. Authenticity is “in the eye of the beholder” (p. 26), an attribution made by observers rather than a quality an entity possesses.</w:t>
      </w:r>
    </w:p>
    <w:p>
      <w:pPr>
        <w:spacing w:line="360" w:lineRule="auto"/>
        <w:jc w:val="both"/>
        <w:rPr>
          <w:rFonts w:ascii="Times New Roman" w:hAnsi="Times New Roman" w:cs="Times New Roman"/>
        </w:rPr>
      </w:pPr>
      <w:r>
        <w:rPr>
          <w:rFonts w:ascii="Times New Roman" w:hAnsi="Times New Roman" w:cs="Times New Roman"/>
        </w:rPr>
        <w:t xml:space="preserve">Johansen and Gregersen (2024) raise a related difficulty from within communication research. Examining authenticity in relation to organizational-level visual identity, they contrast an essentialist approach, where an organization is assumed to have a relatively stable identity that communication should accurately represent, with more processual, aspirational and audience-oriented approaches. From an essentialist perspective, authenticity is closely connected to alignment: communication is authentic when it accurately reflects the organization’s underlying identity. The processual perspective makes the relationship less straightforward, because organizational identity can itself develop through communication and interaction. Communication does not then simply represent an identity that already exists; it participates in constructing one, which is why Johansen and Gregersen (2024) give employees and external stakeholders a more active role.</w:t>
      </w:r>
    </w:p>
    <w:p>
      <w:pPr>
        <w:spacing w:line="360" w:lineRule="auto"/>
        <w:jc w:val="both"/>
        <w:rPr>
          <w:rFonts w:ascii="Times New Roman" w:hAnsi="Times New Roman" w:cs="Times New Roman"/>
        </w:rPr>
      </w:pPr>
      <w:r>
        <w:rPr>
          <w:rFonts w:ascii="Times New Roman" w:hAnsi="Times New Roman" w:cs="Times New Roman"/>
        </w:rPr>
        <w:t xml:space="preserve">Taken together, these studies suggest that organizational authenticity cannot be reduced to a simple question of whether communication “matches reality.” Consistency matters, particularly in research concerned with organizational values and lived practices, and Molleda (2010) and Eldor (2026) place strong emphasis on alignment between claims, values and behavior. But the literature does not agree that the organization has one fixed and easily identifiable authentic core, and it does not agree that authenticity is the organization’s to possess. The important point for this review is therefore not to decide whether authenticity is ultimately “inside” or “outside” the organization. Claims about organizational authenticity become meaningful through a relationship between organizational values and practices, communication, and the people who encounter and interpret them. Lehman et al. (2019) name those people as the ones who make the attribution, and it is with them that the second strand begins.</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judgment made by audiences</w:t>
      </w:r>
    </w:p>
    <w:p>
      <w:pPr>
        <w:spacing w:line="360" w:lineRule="auto"/>
        <w:jc w:val="both"/>
        <w:rPr>
          <w:rFonts w:ascii="Times New Roman" w:hAnsi="Times New Roman" w:cs="Times New Roman"/>
        </w:rPr>
      </w:pPr>
      <w:r>
        <w:rPr>
          <w:rFonts w:ascii="Times New Roman" w:hAnsi="Times New Roman" w:cs="Times New Roman"/>
        </w:rPr>
        <w:t xml:space="preserve">The first strand asks what makes an organization authentic. This one relocates the question and asks what makes an audience judge an organization to be so. The shift matters, because once authenticity is treated as a perception it becomes measurable, and much of the research in this strand is devoted to measuring it.</w:t>
      </w:r>
    </w:p>
    <w:p>
      <w:pPr>
        <w:spacing w:line="360" w:lineRule="auto"/>
        <w:jc w:val="both"/>
        <w:rPr>
          <w:rFonts w:ascii="Times New Roman" w:hAnsi="Times New Roman" w:cs="Times New Roman"/>
        </w:rPr>
      </w:pPr>
      <w:r>
        <w:rPr>
          <w:rFonts w:ascii="Times New Roman" w:hAnsi="Times New Roman" w:cs="Times New Roman"/>
        </w:rPr>
        <w:t xml:space="preserve">Molleda (2010) makes the foundational move for communication research. The stated purpose is “to define the construct authenticity and its dimensions and to propose an index to measure levels of authenticity in organisational messages and actions, as well as perceived authenticity from the stakeholders’ perspective” (p. 223). Two features are worth noting. The proposed index is meant to capture both what an organization does and how stakeholders read it, which keeps the two connected rather than treating perception alone. And the construct is assembled from advertising, marketing, communication studies and public relations, an early acknowledgement that authenticity does not belong to a single field.</w:t>
      </w:r>
    </w:p>
    <w:p>
      <w:pPr>
        <w:spacing w:line="360" w:lineRule="auto"/>
        <w:jc w:val="both"/>
        <w:rPr>
          <w:rFonts w:ascii="Times New Roman" w:hAnsi="Times New Roman" w:cs="Times New Roman"/>
        </w:rPr>
      </w:pPr>
      <w:r>
        <w:rPr>
          <w:rFonts w:ascii="Times New Roman" w:hAnsi="Times New Roman" w:cs="Times New Roman"/>
        </w:rPr>
        <w:t xml:space="preserve">Morhart, Malär, Guèvremont, Girardin and Grohmann (2015) carry the measurement project furthest. Across a multi-phase development process they produce a 15-item scale of perceived brand authenticity with four dimensions, and define the construct as “the extent to which consumers perceive a brand to be faithful toward itself (continuity), true to its consumers (credibility), motivated by caring and responsibility (integrity), and able to support consumers in being true to themselves (symbolism)” (p. 203). Perceptions are found to be driven by indexical cues, meaning “evidence-based brand characteristics,” alongside iconic and existential ones (p. 201), with the influence of the latter moderated by how sceptical of marketing a consumer is.</w:t>
      </w:r>
    </w:p>
    <w:p>
      <w:pPr>
        <w:spacing w:line="360" w:lineRule="auto"/>
        <w:jc w:val="both"/>
        <w:rPr>
          <w:rFonts w:ascii="Times New Roman" w:hAnsi="Times New Roman" w:cs="Times New Roman"/>
        </w:rPr>
      </w:pPr>
      <w:r>
        <w:rPr>
          <w:rFonts w:ascii="Times New Roman" w:hAnsi="Times New Roman" w:cs="Times New Roman"/>
        </w:rPr>
        <w:t xml:space="preserve">The definition repays close reading, because the phrase “the extent to which consumers perceive” governs all four dimensions. Integrity in this scale is not a property of the organization’s conduct but a perception of its motivation. Nothing in the instrument asks what the organization actually does internally. This is not a defect of the scale, which measures what it sets out to measure, but it marks the limit of the strand: a brand can score highly on perceived integrity while its internal practice remains entirely unexamined. Yang, Jiang and Kim (2023) describe this work as operating at the brand rather than the message level, a distinction that separates this strand from the next.</w:t>
      </w:r>
    </w:p>
    <w:p>
      <w:pPr>
        <w:spacing w:line="360" w:lineRule="auto"/>
        <w:jc w:val="both"/>
        <w:rPr>
          <w:rFonts w:ascii="Times New Roman" w:hAnsi="Times New Roman" w:cs="Times New Roman"/>
        </w:rPr>
      </w:pPr>
      <w:r>
        <w:rPr>
          <w:rFonts w:ascii="Times New Roman" w:hAnsi="Times New Roman" w:cs="Times New Roman"/>
        </w:rPr>
        <w:t xml:space="preserve">Yim (2021) provides the strand’s sharpest instrument, and the one closest to this review’s question. In a 2 × 2 factorial survey experiment (N = 398) on corporate social advocacy, Yim identifies two perceptual gaps an organization must bridge. The factual gap “refers to perceived inconsistency of values – that is, that the company may not walk its talk on moral values” (p. 60). The conformity gap “refers to values incongruity between public expectations and corporate performance” (p. 60). On these two axes, advocacy initiatives are classified as authentic, faulty or fake, and authentic initiatives, which project clear moral values and meet public expectations, are found to generate stronger perceptions of legitimacy and more positive behavioral willingness than the others.</w:t>
      </w:r>
    </w:p>
    <w:p>
      <w:pPr>
        <w:spacing w:line="360" w:lineRule="auto"/>
        <w:jc w:val="both"/>
        <w:rPr>
          <w:rFonts w:ascii="Times New Roman" w:hAnsi="Times New Roman" w:cs="Times New Roman"/>
        </w:rPr>
      </w:pPr>
      <w:r>
        <w:rPr>
          <w:rFonts w:ascii="Times New Roman" w:hAnsi="Times New Roman" w:cs="Times New Roman"/>
        </w:rPr>
        <w:t xml:space="preserve">The factual gap deserves particular attention here, because it is this review’s question expressed in the vocabulary of audience perception. Whether a company walks its talk is a question about the relationship between what an organization says outside and what it does inside. Yim treats that relationship as something publics detect, and measures how accurately they detect it. What the study does not ask is what makes the talk and the walk correspond in the first place.</w:t>
      </w:r>
    </w:p>
    <w:p>
      <w:pPr>
        <w:spacing w:line="360" w:lineRule="auto"/>
        <w:jc w:val="both"/>
        <w:rPr>
          <w:rFonts w:ascii="Times New Roman" w:hAnsi="Times New Roman" w:cs="Times New Roman"/>
        </w:rPr>
      </w:pPr>
      <w:r>
        <w:rPr>
          <w:rFonts w:ascii="Times New Roman" w:hAnsi="Times New Roman" w:cs="Times New Roman"/>
        </w:rPr>
        <w:t xml:space="preserve">O’Donnell, Ma, Lee and Choi (2025) arrive at a similar boundary from another direction. In a 4 × 2 experiment with 620 US adults concerning corporate social advocacy on environmental injustice, promise type was tested against leadership congruence, and the results “confirmed the importance of having leaders whose values align with company-endorsed causes” (p. 709). The strongest determinant of an external authenticity judgment turns out to be an internal condition: who the organization’s leaders are and what they are taken to believe.</w:t>
      </w:r>
    </w:p>
    <w:p>
      <w:pPr>
        <w:spacing w:line="360" w:lineRule="auto"/>
        <w:jc w:val="both"/>
        <w:rPr>
          <w:rFonts w:ascii="Times New Roman" w:hAnsi="Times New Roman" w:cs="Times New Roman"/>
        </w:rPr>
      </w:pPr>
      <w:r>
        <w:rPr>
          <w:rFonts w:ascii="Times New Roman" w:hAnsi="Times New Roman" w:cs="Times New Roman"/>
        </w:rPr>
        <w:t xml:space="preserve">Edwards (2010) supplies the strand’s critical counterweight, and a substantial one. Drawing on Bourdieu, Edwards argues that fields of production are competitive arenas in which organizations “attempt to secure symbolic power that will allow them to define the field’s parameters and norms in their own interests” (p. 199), and that communications professionals, “who try to define what is and is not authentic in a particular field, are implicated in these processes” (p. 199). The consequence is that audience judgments of authenticity are not made against neutral criteria. The criteria are themselves an outcome of competition, and the organizations being judged help to set them. Edwards further notes the exclusionary effects of this, since a definition of authenticity that serves some actors necessarily disqualifies others.</w:t>
      </w:r>
    </w:p>
    <w:p>
      <w:pPr>
        <w:spacing w:line="360" w:lineRule="auto"/>
        <w:jc w:val="both"/>
        <w:rPr>
          <w:rFonts w:ascii="Times New Roman" w:hAnsi="Times New Roman" w:cs="Times New Roman"/>
        </w:rPr>
      </w:pPr>
      <w:r>
        <w:rPr>
          <w:rFonts w:ascii="Times New Roman" w:hAnsi="Times New Roman" w:cs="Times New Roman"/>
        </w:rPr>
        <w:t xml:space="preserve">Taken together, this strand establishes that audiences do judge authenticity, that the judgment turns substantially on perceived consistency between what an organization says and what it does, and that the criteria of judgment are themselves contested. What the strand cannot do, by its own design, is explain how that consistency is produced. Measuring whether publics believe a company walks its talk says nothing about what walking the talk requires of the people who have to do the walking. That is the question taken up in the fourth strand.</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effect of communication</w:t>
      </w:r>
    </w:p>
    <w:p>
      <w:pPr>
        <w:spacing w:line="360" w:lineRule="auto"/>
        <w:jc w:val="both"/>
        <w:rPr>
          <w:rFonts w:ascii="Times New Roman" w:hAnsi="Times New Roman" w:cs="Times New Roman"/>
        </w:rPr>
      </w:pPr>
      <w:r>
        <w:rPr>
          <w:rFonts w:ascii="Times New Roman" w:hAnsi="Times New Roman" w:cs="Times New Roman"/>
        </w:rPr>
        <w:t xml:space="preserve">The first strand locates authenticity in the organization and the second in the perceiver. This strand asks what communication itself contributes: whether authenticity can be produced, transmitted or manufactured through communicative work. The literature here is more divided than it first appears, because its central assumption is one that part of the strand sets out to test.</w:t>
      </w:r>
    </w:p>
    <w:p>
      <w:pPr>
        <w:spacing w:line="360" w:lineRule="auto"/>
        <w:jc w:val="both"/>
        <w:rPr>
          <w:rFonts w:ascii="Times New Roman" w:hAnsi="Times New Roman" w:cs="Times New Roman"/>
        </w:rPr>
      </w:pPr>
      <w:r>
        <w:rPr>
          <w:rFonts w:ascii="Times New Roman" w:hAnsi="Times New Roman" w:cs="Times New Roman"/>
        </w:rPr>
        <w:t xml:space="preserve">Johansen and Gregersen (2024) state that assumption more clearly than anyone. They show that the dominant approach to organizational-level visual identity authenticity rests on three interrelated commitments: “that a real organizational identity essence exists; that it can and should be aligned with a corresponding visual identity; and that such visual identity can transmit the essence as part of strategic communication” (p. 405). The third commitment is this strand’s premise. If communication can transmit an organizational essence, then authenticity is something communication delivers. Drawing on interviews with ten agency strategists (p. 405), Johansen and Gregersen argue that the essentialist position should be supplemented by processual alternatives, and identify dynamic, aspirational and consumer-driven approaches alongside it (p. 405). An aspirational visual identity does not transmit what an organization is; it communicates what the organization intends to become.</w:t>
      </w:r>
    </w:p>
    <w:p>
      <w:pPr>
        <w:spacing w:line="360" w:lineRule="auto"/>
        <w:jc w:val="both"/>
        <w:rPr>
          <w:rFonts w:ascii="Times New Roman" w:hAnsi="Times New Roman" w:cs="Times New Roman"/>
        </w:rPr>
      </w:pPr>
      <w:r>
        <w:rPr>
          <w:rFonts w:ascii="Times New Roman" w:hAnsi="Times New Roman" w:cs="Times New Roman"/>
        </w:rPr>
        <w:t xml:space="preserve">Yang, Jiang and Kim (2023) represent the strand’s empirical mainstream, and work on the assumption Johansen and Gregersen question. Surveying consumer responses to real COVID-19 video advertisements, they found that “message authenticity significantly increased consumers’ perception of brand warmth, brand attitude, and engagement intention” (p. 259), through a path in which “authentic ads evoked positively valenced emotional responses” (p. 259). They are explicit that this operates at a different level from the measurement work discussed in the previous section, extending knowledge about authenticity “at the message level” rather than the brand level (p. 273). Authenticity here is a property of a message, and one that can be designed into it.</w:t>
      </w:r>
    </w:p>
    <w:p>
      <w:pPr>
        <w:spacing w:line="360" w:lineRule="auto"/>
        <w:jc w:val="both"/>
        <w:rPr>
          <w:rFonts w:ascii="Times New Roman" w:hAnsi="Times New Roman" w:cs="Times New Roman"/>
        </w:rPr>
      </w:pPr>
      <w:r>
        <w:rPr>
          <w:rFonts w:ascii="Times New Roman" w:hAnsi="Times New Roman" w:cs="Times New Roman"/>
        </w:rPr>
        <w:t xml:space="preserve">Sisson (2017) marks the strand’s limit case, because astroturfing is communicative work whose entire purpose is to produce authenticity where none exists. Citing Berkman, Sisson describes astroturfing as inauthentic grassroots communication that disseminates a “predetermined message … in a manner that makes each message appear authentic and original” (p. 788). The construction repays attention. The message is predetermined and centrally produced; the appearance of spontaneous, original, grassroots authenticity is the deliverable. Sisson’s own findings are narrower than this framing, reporting that “positivity and networking strategies have significant associations with dimensions of trust” (p. 788) in the news coverage analyzed. The conceptual contribution is the stronger one.</w:t>
      </w:r>
    </w:p>
    <w:p>
      <w:pPr>
        <w:spacing w:line="360" w:lineRule="auto"/>
        <w:jc w:val="both"/>
        <w:rPr>
          <w:rFonts w:ascii="Times New Roman" w:hAnsi="Times New Roman" w:cs="Times New Roman"/>
        </w:rPr>
      </w:pPr>
      <w:r>
        <w:rPr>
          <w:rFonts w:ascii="Times New Roman" w:hAnsi="Times New Roman" w:cs="Times New Roman"/>
        </w:rPr>
        <w:t xml:space="preserve">Placed in sequence, these three studies produce an uncomfortable result for the strand. If authenticity is a designable property of a message, as Yang and colleagues show, and if it can be manufactured wholesale by communication with nothing behind it, as astroturfing demonstrates, then communication alone cannot distinguish authentic messages from well-made appearances of authenticity. What separates the two is not a feature of the message. It is whether anything corresponds to it.</w:t>
      </w:r>
    </w:p>
    <w:p>
      <w:pPr>
        <w:spacing w:line="360" w:lineRule="auto"/>
        <w:jc w:val="both"/>
        <w:rPr>
          <w:rFonts w:ascii="Times New Roman" w:hAnsi="Times New Roman" w:cs="Times New Roman"/>
        </w:rPr>
      </w:pPr>
      <w:r>
        <w:rPr>
          <w:rFonts w:ascii="Times New Roman" w:hAnsi="Times New Roman" w:cs="Times New Roman"/>
        </w:rPr>
        <w:t xml:space="preserve">This is precisely where Johansen and Gregersen’s third commitment fails. Communication cannot transmit an essence to which it has no access, and no analysis conducted at the level of the message can establish whether that essence is there. The strand asks what communication produces and answers that it produces perception, which returns the question to where the second strand left it. What none of this work examines is what would have to be true inside an organization for its communication to be transmitting rather than manufacturing. The fourth strand turns to that.</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instrument of control over employees</w:t>
      </w:r>
    </w:p>
    <w:p>
      <w:pPr>
        <w:spacing w:line="360" w:lineRule="auto"/>
        <w:jc w:val="both"/>
        <w:rPr>
          <w:rFonts w:ascii="Times New Roman" w:hAnsi="Times New Roman" w:cs="Times New Roman"/>
        </w:rPr>
      </w:pPr>
      <w:r>
        <w:rPr>
          <w:rFonts w:ascii="Times New Roman" w:hAnsi="Times New Roman" w:cs="Times New Roman"/>
        </w:rPr>
        <w:t xml:space="preserve">The three strands above treat authenticity as something an organization possesses, something audiences grant, or something communication produces. A fourth body of work asks what an authenticity claim requires of the people who have to sustain it. This strand divides internally, between studies that find organizations restricting what employees may say and studies that find organizations shaping what employees say on the organization’s behalf.</w:t>
      </w:r>
    </w:p>
    <w:p>
      <w:pPr>
        <w:spacing w:line="360" w:lineRule="auto"/>
        <w:jc w:val="both"/>
        <w:rPr>
          <w:rFonts w:ascii="Times New Roman" w:hAnsi="Times New Roman" w:cs="Times New Roman"/>
        </w:rPr>
      </w:pPr>
      <w:r>
        <w:rPr>
          <w:rFonts w:ascii="Times New Roman" w:hAnsi="Times New Roman" w:cs="Times New Roman"/>
        </w:rPr>
        <w:t xml:space="preserve">Dahle and Wæraas (2020) give the clearest case of restriction. Studying fifteen Oslo high schools competing for students and funding under marketization, they found that “voice restrictions, not brand ambassadorship, was the preferred strategy to ensure brand alignment” (p. 259). Message control, they conclude, is “a crucial means of creating brand alignment in the public sector” (p. 272). They are careful about which kind of control this is: it is technocratic, and “does not reflect the type of normative control demonstrated by studies of branding in other settings such as high-tech firms” (p. 272). Their concern is that where brand image dominates, public sector communication becomes “more self-centred and censored” (p. 273), which for organizations whose communication is meant to serve the public interest is a substantial cost.</w:t>
      </w:r>
    </w:p>
    <w:p>
      <w:pPr>
        <w:spacing w:line="360" w:lineRule="auto"/>
        <w:jc w:val="both"/>
        <w:rPr>
          <w:rFonts w:ascii="Times New Roman" w:hAnsi="Times New Roman" w:cs="Times New Roman"/>
        </w:rPr>
      </w:pPr>
      <w:r>
        <w:rPr>
          <w:rFonts w:ascii="Times New Roman" w:hAnsi="Times New Roman" w:cs="Times New Roman"/>
        </w:rPr>
        <w:t xml:space="preserve">Hansen, Jensen and Maagaard (2022) show the second form, and show it operating through invitation rather than restriction. Their longitudinal case study examines how “employees’ communicative labour is used by brand management to constitute CSR as an embedded part of the corporate brand” (p. 584). Employees’ voluntary activities outside work are gathered as stories for the corporate brand. Management silences no one; it functions as what the authors call a practical author, attempting “to author a coherent and shared brand narrative by highlighting some preferred discourses over others” (p. 584). The mechanism is visible in the detail: employees are given “reassurances that all projects, regardless of size and scope, are equally valued, which, however, are contradicted by the reward of a winning project each year” (p. 595). The invitation to co-create is genuine, and it is also managed.</w:t>
      </w:r>
    </w:p>
    <w:p>
      <w:pPr>
        <w:spacing w:line="360" w:lineRule="auto"/>
        <w:jc w:val="both"/>
        <w:rPr>
          <w:rFonts w:ascii="Times New Roman" w:hAnsi="Times New Roman" w:cs="Times New Roman"/>
        </w:rPr>
      </w:pPr>
      <w:r>
        <w:rPr>
          <w:rFonts w:ascii="Times New Roman" w:hAnsi="Times New Roman" w:cs="Times New Roman"/>
        </w:rPr>
        <w:t xml:space="preserve">Placed side by side, these two studies describe the same problem solved in opposite directions. One organization secures a consistent external claim by limiting employee voice; the other secures it by inviting employee voice and then selecting from it. In both cases the external claim is produced internally, and in both cases that production is managed.</w:t>
      </w:r>
    </w:p>
    <w:p>
      <w:pPr>
        <w:spacing w:line="360" w:lineRule="auto"/>
        <w:jc w:val="both"/>
        <w:rPr>
          <w:rFonts w:ascii="Times New Roman" w:hAnsi="Times New Roman" w:cs="Times New Roman"/>
        </w:rPr>
      </w:pPr>
      <w:r>
        <w:rPr>
          <w:rFonts w:ascii="Times New Roman" w:hAnsi="Times New Roman" w:cs="Times New Roman"/>
        </w:rPr>
        <w:t xml:space="preserve">This is the dynamic Christensen and Cornelissen (2011) anticipate at the level of theory. Writing against “the prevailing propensity of contemporary management to focus on consistency in corporate messages” (p. 402), they report the argument that corporate communication, while “seemingly celebrating employee involvement,” in fact “advances a type of employee regulation” (p. 394), and they conclude that an organization “is neither a single unit nor can it be managed and controlled as such” (pp. 394–395). Hansen et al. give that claim an empirical form: celebrating involvement and regulating involvement are not alternatives but the same activity.</w:t>
      </w:r>
    </w:p>
    <w:p>
      <w:pPr>
        <w:spacing w:line="360" w:lineRule="auto"/>
        <w:jc w:val="both"/>
        <w:rPr>
          <w:rFonts w:ascii="Times New Roman" w:hAnsi="Times New Roman" w:cs="Times New Roman"/>
        </w:rPr>
      </w:pPr>
      <w:r>
        <w:rPr>
          <w:rFonts w:ascii="Times New Roman" w:hAnsi="Times New Roman" w:cs="Times New Roman"/>
        </w:rPr>
        <w:t xml:space="preserve">Not all of this strand is critical. Lee et al. (2024) study corporate social advocacy from the inside and find that employees’ perceptions of organizational justice shape whether they judge their employer’s external advocacy authentic, and that perceived authenticity in turn increases supportive behavior. On their account the internal condition for a credible external claim is neither silence nor curation but fairness. Wilcox and Rajasekar (2026) complicate the picture further. Studying diversity initiatives in the technology industry, they find employees sceptical of their own organizations’ claims, and argue that “(in)authenticity can serve as a unifying concern” across employees of different races and genders. Employees are not only the instrument of an authenticity claim; they are also among its most demanding audiences.</w:t>
      </w:r>
    </w:p>
    <w:p>
      <w:pPr>
        <w:spacing w:line="360" w:lineRule="auto"/>
        <w:jc w:val="both"/>
        <w:rPr>
          <w:rFonts w:ascii="Times New Roman" w:hAnsi="Times New Roman" w:cs="Times New Roman"/>
        </w:rPr>
      </w:pPr>
      <w:r>
        <w:rPr>
          <w:rFonts w:ascii="Times New Roman" w:hAnsi="Times New Roman" w:cs="Times New Roman"/>
        </w:rPr>
        <w:t xml:space="preserve">Read against the first research question, this strand gives the sharpest answer of the four. What has to happen inside an organization for a claim made outside it to hold is not, in this literature, alignment. It is the management of employee voice, whether by restriction or by selection, and the evidence from Lee et al. and from Wilcox and Rajasekar suggests that employees notice which.</w:t>
      </w: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Beverland, M. B. (2005). Crafting brand authenticity: The case of luxury wines. </w:t>
      </w:r>
      <w:r>
        <w:rPr>
          <w:i/>
          <w:rFonts w:ascii="Times New Roman" w:hAnsi="Times New Roman" w:cs="Times New Roman"/>
        </w:rPr>
        <w:t xml:space="preserve">Journal of Management Studies, 42</w:t>
      </w:r>
      <w:r>
        <w:rPr>
          <w:rFonts w:ascii="Times New Roman" w:hAnsi="Times New Roman" w:cs="Times New Roman"/>
        </w:rPr>
        <w:t xml:space="preserve">(5), 1003–1029. https://doi.org/10.1111/j.1467-6486.2005.00530.x</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Dahle, D. Y., &amp; Wæraas, A. (2020). Silence from the brands: Message control, brand ambassadorship, and the public interest. </w:t>
      </w:r>
      <w:r>
        <w:rPr>
          <w:i/>
          <w:rFonts w:ascii="Times New Roman" w:hAnsi="Times New Roman" w:cs="Times New Roman"/>
        </w:rPr>
        <w:t xml:space="preserve">International Journal of Organization Theory &amp; Behavior, 23</w:t>
      </w:r>
      <w:r>
        <w:rPr>
          <w:rFonts w:ascii="Times New Roman" w:hAnsi="Times New Roman" w:cs="Times New Roman"/>
        </w:rPr>
        <w:t xml:space="preserve">(3), 259–280. https://doi.org/10.1108/IJOTB-05-2019-0060</w:t>
      </w:r>
    </w:p>
    <w:p>
      <w:pPr>
        <w:spacing w:line="360" w:lineRule="auto"/>
        <w:jc w:val="both"/>
        <w:rPr>
          <w:rFonts w:ascii="Times New Roman" w:hAnsi="Times New Roman" w:cs="Times New Roman"/>
        </w:rPr>
        <w:ind w:left="720" w:hanging="720"/>
      </w:pPr>
      <w:r>
        <w:rPr>
          <w:rFonts w:ascii="Times New Roman" w:hAnsi="Times New Roman" w:cs="Times New Roman"/>
        </w:rPr>
        <w:t xml:space="preserve">Edwards, L. (2010). Authenticity in organisational context: Fragmentation, contradiction and loss of control. </w:t>
      </w:r>
      <w:r>
        <w:rPr>
          <w:i/>
          <w:rFonts w:ascii="Times New Roman" w:hAnsi="Times New Roman" w:cs="Times New Roman"/>
        </w:rPr>
        <w:t xml:space="preserve">Journal of Communication Management, 14</w:t>
      </w:r>
      <w:r>
        <w:rPr>
          <w:rFonts w:ascii="Times New Roman" w:hAnsi="Times New Roman" w:cs="Times New Roman"/>
        </w:rPr>
        <w:t xml:space="preserve">(3), 192–205. https://doi.org/10.1108/13632541011064481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Eldor, L. (2026). The relationship between organizational authenticity perceptions and employees' work performance: Evidence from a field experiment. </w:t>
      </w:r>
      <w:r>
        <w:rPr>
          <w:i/>
          <w:rFonts w:ascii="Times New Roman" w:hAnsi="Times New Roman" w:cs="Times New Roman"/>
        </w:rPr>
        <w:t xml:space="preserve">Journal of Management, 52</w:t>
      </w:r>
      <w:r>
        <w:rPr>
          <w:rFonts w:ascii="Times New Roman" w:hAnsi="Times New Roman" w:cs="Times New Roman"/>
        </w:rPr>
        <w:t xml:space="preserve">(4), 1435–1464. https://doi.org/10.1177/01492063241310153</w:t>
      </w:r>
    </w:p>
    <w:p>
      <w:pPr>
        <w:spacing w:line="360" w:lineRule="auto"/>
        <w:jc w:val="both"/>
        <w:rPr>
          <w:rFonts w:ascii="Times New Roman" w:hAnsi="Times New Roman" w:cs="Times New Roman"/>
        </w:rPr>
        <w:ind w:left="720" w:hanging="720"/>
      </w:pPr>
      <w:r>
        <w:rPr>
          <w:rFonts w:ascii="Times New Roman" w:hAnsi="Times New Roman" w:cs="Times New Roman"/>
        </w:rPr>
        <w:t xml:space="preserve">Fleming, P., &amp; Sturdy, A. (2011). “Being yourself” in the electronic sweatshop: New forms of normative control. </w:t>
      </w:r>
      <w:r>
        <w:rPr>
          <w:i/>
          <w:rFonts w:ascii="Times New Roman" w:hAnsi="Times New Roman" w:cs="Times New Roman"/>
        </w:rPr>
        <w:t xml:space="preserve">Human Relations, 64</w:t>
      </w:r>
      <w:r>
        <w:rPr>
          <w:rFonts w:ascii="Times New Roman" w:hAnsi="Times New Roman" w:cs="Times New Roman"/>
        </w:rPr>
        <w:t xml:space="preserve">(2), 177–200. https://doi.org/10.1177/0018726710375481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Lee, Y., Li, J.-Y., Tao, W., &amp; Ma, X. S. (2024). Toward an authentic corporate social advocacy (CSA): An internal perspective of BLM advocacy. </w:t>
      </w:r>
      <w:r>
        <w:rPr>
          <w:i/>
          <w:rFonts w:ascii="Times New Roman" w:hAnsi="Times New Roman" w:cs="Times New Roman"/>
        </w:rPr>
        <w:t xml:space="preserve">Public Relations Review, 50</w:t>
      </w:r>
      <w:r>
        <w:rPr>
          <w:rFonts w:ascii="Times New Roman" w:hAnsi="Times New Roman" w:cs="Times New Roman"/>
        </w:rPr>
        <w:t xml:space="preserve">(5), Article 102508. https://doi.org/10.1016/j.pubrev.2024.102508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Morhart, F., Malär, L., Guèvremont, A., Girardin, F., &amp; Grohmann, B. (2015). Brand authenticity: An integrative framework and measurement scale. </w:t>
      </w:r>
      <w:r>
        <w:rPr>
          <w:i/>
          <w:rFonts w:ascii="Times New Roman" w:hAnsi="Times New Roman" w:cs="Times New Roman"/>
        </w:rPr>
        <w:t xml:space="preserve">Journal of Consumer Psychology, 25</w:t>
      </w:r>
      <w:r>
        <w:rPr>
          <w:rFonts w:ascii="Times New Roman" w:hAnsi="Times New Roman" w:cs="Times New Roman"/>
        </w:rPr>
        <w:t xml:space="preserve">(2), 200–218. https://doi.org/10.1016/j.jcps.2014.11.006</w:t>
      </w:r>
    </w:p>
    <w:p>
      <w:pPr>
        <w:spacing w:line="360" w:lineRule="auto"/>
        <w:jc w:val="both"/>
        <w:rPr>
          <w:rFonts w:ascii="Times New Roman" w:hAnsi="Times New Roman" w:cs="Times New Roman"/>
        </w:rPr>
        <w:ind w:left="720" w:hanging="720"/>
      </w:pPr>
      <w:r>
        <w:rPr>
          <w:rFonts w:ascii="Times New Roman" w:hAnsi="Times New Roman" w:cs="Times New Roman"/>
        </w:rPr>
        <w:t xml:space="preserve">Mueller-Bryson, S., Windels, K., &amp; Karl, S. (2025). When brands don't practice what they preach: A proposed model of the effects of brand hypocrisy and brand-cause fit on women's responses to femvertisements. </w:t>
      </w:r>
      <w:r>
        <w:rPr>
          <w:i/>
          <w:rFonts w:ascii="Times New Roman" w:hAnsi="Times New Roman" w:cs="Times New Roman"/>
        </w:rPr>
        <w:t xml:space="preserve">Journal of Current Issues &amp; Research in Advertising, 47</w:t>
      </w:r>
      <w:r>
        <w:rPr>
          <w:rFonts w:ascii="Times New Roman" w:hAnsi="Times New Roman" w:cs="Times New Roman"/>
        </w:rPr>
        <w:t xml:space="preserve">(1), 95–117. https://doi.org/10.1080/10641734.2025.2452564</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pPr>
        <w:spacing w:line="360" w:lineRule="auto"/>
        <w:jc w:val="both"/>
        <w:rPr>
          <w:rFonts w:ascii="Times New Roman" w:hAnsi="Times New Roman" w:cs="Times New Roman"/>
        </w:rPr>
        <w:ind w:left="720" w:hanging="720"/>
      </w:pPr>
      <w:r>
        <w:rPr>
          <w:rFonts w:ascii="Times New Roman" w:hAnsi="Times New Roman" w:cs="Times New Roman"/>
        </w:rPr>
        <w:t xml:space="preserve">O’Donnell, N., Ma, Y., Lee, Y.-J., &amp; Choi, M. (2025). Corporate social advocacy and brand authenticity: Evaluating the influences of promise types and value congruence. </w:t>
      </w:r>
      <w:r>
        <w:rPr>
          <w:i/>
          <w:rFonts w:ascii="Times New Roman" w:hAnsi="Times New Roman" w:cs="Times New Roman"/>
        </w:rPr>
        <w:t xml:space="preserve">Journal of Marketing Communications, 31</w:t>
      </w:r>
      <w:r>
        <w:rPr>
          <w:rFonts w:ascii="Times New Roman" w:hAnsi="Times New Roman" w:cs="Times New Roman"/>
        </w:rPr>
        <w:t xml:space="preserve">(7), 709–725. https://doi.org/10.1080/13527266.2023.2275724</w:t>
      </w:r>
    </w:p>
    <w:p>
      <w:pPr>
        <w:spacing w:line="360" w:lineRule="auto"/>
        <w:jc w:val="both"/>
        <w:rPr>
          <w:rFonts w:ascii="Times New Roman" w:hAnsi="Times New Roman" w:cs="Times New Roman"/>
        </w:rPr>
        <w:ind w:left="720" w:hanging="720"/>
      </w:pPr>
      <w:r>
        <w:rPr>
          <w:rFonts w:ascii="Times New Roman" w:hAnsi="Times New Roman" w:cs="Times New Roman"/>
        </w:rPr>
        <w:t xml:space="preserve">Piehler, R., Schade, M., &amp; Burmann, C. (2019). Employees as a second audience: The effect of external communication on internal brand management outcomes. </w:t>
      </w:r>
      <w:r>
        <w:rPr>
          <w:i/>
          <w:rFonts w:ascii="Times New Roman" w:hAnsi="Times New Roman" w:cs="Times New Roman"/>
        </w:rPr>
        <w:t xml:space="preserve">Journal of Brand Management, 26</w:t>
      </w:r>
      <w:r>
        <w:rPr>
          <w:rFonts w:ascii="Times New Roman" w:hAnsi="Times New Roman" w:cs="Times New Roman"/>
        </w:rPr>
        <w:t xml:space="preserve">(4), 445–460. https://doi.org/10.1057/s41262-018-0135-z</w:t>
      </w:r>
    </w:p>
    <w:p>
      <w:pPr>
        <w:spacing w:line="360" w:lineRule="auto"/>
        <w:jc w:val="both"/>
        <w:rPr>
          <w:rFonts w:ascii="Times New Roman" w:hAnsi="Times New Roman" w:cs="Times New Roman"/>
        </w:rPr>
        <w:ind w:left="720" w:hanging="720"/>
      </w:pPr>
      <w:r>
        <w:rPr>
          <w:rFonts w:ascii="Times New Roman" w:hAnsi="Times New Roman" w:cs="Times New Roman"/>
        </w:rPr>
        <w:t xml:space="preserve">Punjaisri, K., &amp; Wilson, A. (2007). The role of internal branding in the delivery of employee brand promise. </w:t>
      </w:r>
      <w:r>
        <w:rPr>
          <w:i/>
          <w:rFonts w:ascii="Times New Roman" w:hAnsi="Times New Roman" w:cs="Times New Roman"/>
        </w:rPr>
        <w:t xml:space="preserve">Journal of Brand Management, 15</w:t>
      </w:r>
      <w:r>
        <w:rPr>
          <w:rFonts w:ascii="Times New Roman" w:hAnsi="Times New Roman" w:cs="Times New Roman"/>
        </w:rPr>
        <w:t xml:space="preserve">(1), 57–70. https://doi.org/10.1057/palgrave.bm.2550110</w:t>
      </w:r>
    </w:p>
    <w:p>
      <w:pPr>
        <w:spacing w:line="360" w:lineRule="auto"/>
        <w:jc w:val="both"/>
        <w:rPr>
          <w:rFonts w:ascii="Times New Roman" w:hAnsi="Times New Roman" w:cs="Times New Roman"/>
        </w:rPr>
        <w:ind w:left="720" w:hanging="720"/>
      </w:pPr>
      <w:r>
        <w:rPr>
          <w:rFonts w:ascii="Times New Roman" w:hAnsi="Times New Roman" w:cs="Times New Roman"/>
        </w:rPr>
        <w:t xml:space="preserve">Sisson, D. C. (2017). Inauthentic communication, organization-public relationships, and trust: A content analysis of online astroturfing news coverage. </w:t>
      </w:r>
      <w:r>
        <w:rPr>
          <w:i/>
          <w:rFonts w:ascii="Times New Roman" w:hAnsi="Times New Roman" w:cs="Times New Roman"/>
        </w:rPr>
        <w:t xml:space="preserve">Public Relations Review, 43</w:t>
      </w:r>
      <w:r>
        <w:rPr>
          <w:rFonts w:ascii="Times New Roman" w:hAnsi="Times New Roman" w:cs="Times New Roman"/>
        </w:rPr>
        <w:t xml:space="preserve">(4), 788–795. https://doi.org/10.1016/j.pubrev.2017.05.003</w:t>
      </w:r>
    </w:p>
    <w:p>
      <w:pPr>
        <w:spacing w:line="360" w:lineRule="auto"/>
        <w:jc w:val="both"/>
        <w:rPr>
          <w:rFonts w:ascii="Times New Roman" w:hAnsi="Times New Roman" w:cs="Times New Roman"/>
        </w:rPr>
        <w:ind w:left="720" w:hanging="720"/>
      </w:pPr>
      <w:r>
        <w:rPr>
          <w:rFonts w:ascii="Times New Roman" w:hAnsi="Times New Roman" w:cs="Times New Roman"/>
        </w:rPr>
        <w:t xml:space="preserve">Wæraas, A., &amp; Dahle, D. Y. (2020). When reputation management is people management: Implications for employee voice. </w:t>
      </w:r>
      <w:r>
        <w:rPr>
          <w:i/>
          <w:rFonts w:ascii="Times New Roman" w:hAnsi="Times New Roman" w:cs="Times New Roman"/>
        </w:rPr>
        <w:t xml:space="preserve">European Management Journal, 38</w:t>
      </w:r>
      <w:r>
        <w:rPr>
          <w:rFonts w:ascii="Times New Roman" w:hAnsi="Times New Roman" w:cs="Times New Roman"/>
        </w:rPr>
        <w:t xml:space="preserve">(2), 277–287. https://doi.org/10.1016/j.emj.2019.08.010</w:t>
      </w:r>
    </w:p>
    <w:p>
      <w:pPr>
        <w:spacing w:line="360" w:lineRule="auto"/>
        <w:jc w:val="both"/>
        <w:rPr>
          <w:rFonts w:ascii="Times New Roman" w:hAnsi="Times New Roman" w:cs="Times New Roman"/>
        </w:rPr>
        <w:ind w:left="720" w:hanging="720"/>
      </w:pPr>
      <w:r>
        <w:rPr>
          <w:rFonts w:ascii="Times New Roman" w:hAnsi="Times New Roman" w:cs="Times New Roman"/>
        </w:rPr>
        <w:t xml:space="preserve">Wegerer, P. K. (2018). Ethical branding as a discoursive resource for employee identity work: A case study. </w:t>
      </w:r>
      <w:r>
        <w:rPr>
          <w:i/>
          <w:rFonts w:ascii="Times New Roman" w:hAnsi="Times New Roman" w:cs="Times New Roman"/>
        </w:rPr>
        <w:t xml:space="preserve">German Journal of Human Resource Management, 32</w:t>
      </w:r>
      <w:r>
        <w:rPr>
          <w:rFonts w:ascii="Times New Roman" w:hAnsi="Times New Roman" w:cs="Times New Roman"/>
        </w:rPr>
        <w:t xml:space="preserve">(2), 102–119. https://doi.org/10.1177/2397002218760511</w:t>
      </w:r>
    </w:p>
    <w:p>
      <w:pPr>
        <w:spacing w:line="360" w:lineRule="auto"/>
        <w:jc w:val="both"/>
        <w:rPr>
          <w:rFonts w:ascii="Times New Roman" w:hAnsi="Times New Roman" w:cs="Times New Roman"/>
        </w:rPr>
        <w:ind w:left="720" w:hanging="720"/>
      </w:pPr>
      <w:r>
        <w:rPr>
          <w:rFonts w:ascii="Times New Roman" w:hAnsi="Times New Roman" w:cs="Times New Roman"/>
        </w:rPr>
        <w:t xml:space="preserve">Yang, J., Jiang, M., &amp; Kim, T. (2023). “Authentic warmth in these uncertain times”: The impact of authenticity in COVID-19 advertising on brand warmth and consumer responses. </w:t>
      </w:r>
      <w:r>
        <w:rPr>
          <w:i/>
          <w:rFonts w:ascii="Times New Roman" w:hAnsi="Times New Roman" w:cs="Times New Roman"/>
        </w:rPr>
        <w:t xml:space="preserve">Journal of Promotion Management, 29</w:t>
      </w:r>
      <w:r>
        <w:rPr>
          <w:rFonts w:ascii="Times New Roman" w:hAnsi="Times New Roman" w:cs="Times New Roman"/>
        </w:rPr>
        <w:t xml:space="preserve">(2), 259–279. https://doi.org/10.1080/10496491.2022.2143988</w:t>
      </w:r>
    </w:p>
    <w:p>
      <w:pPr>
        <w:spacing w:line="360" w:lineRule="auto"/>
        <w:jc w:val="both"/>
        <w:rPr>
          <w:rFonts w:ascii="Times New Roman" w:hAnsi="Times New Roman" w:cs="Times New Roman"/>
        </w:rPr>
        <w:ind w:left="720" w:hanging="720"/>
      </w:pPr>
      <w:r>
        <w:rPr>
          <w:rFonts w:ascii="Times New Roman" w:hAnsi="Times New Roman" w:cs="Times New Roman"/>
        </w:rPr>
        <w:t xml:space="preserve">Yim, M. C. (2021). Fake, faulty, and authentic stand-taking: What determines the legitimacy of corporate social advocacy? </w:t>
      </w:r>
      <w:r>
        <w:rPr>
          <w:i/>
          <w:rFonts w:ascii="Times New Roman" w:hAnsi="Times New Roman" w:cs="Times New Roman"/>
        </w:rPr>
        <w:t xml:space="preserve">International Journal of Strategic Communication, 15</w:t>
      </w:r>
      <w:r>
        <w:rPr>
          <w:rFonts w:ascii="Times New Roman" w:hAnsi="Times New Roman" w:cs="Times New Roman"/>
        </w:rPr>
        <w:t xml:space="preserve">(1), 60–76. https://doi.org/10.1080/1553118X.2020.1856853</w:t>
      </w: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