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judgement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a systematic database search, supplemented by backward citation chaining and by the purposive inclusion of foundational theoretical work.</w:t>
      </w:r>
    </w:p>
    <w:p>
      <w:pPr>
        <w:spacing w:line="360" w:lineRule="auto"/>
        <w:jc w:val="both"/>
        <w:rPr>
          <w:rFonts w:ascii="Times New Roman" w:hAnsi="Times New Roman" w:cs="Times New Roman"/>
        </w:rPr>
      </w:pPr>
      <w:r>
        <w:rPr>
          <w:rFonts w:ascii="Times New Roman" w:hAnsi="Times New Roman" w:cs="Times New Roman"/>
        </w:rPr>
        <w:t xml:space="preserve">The main search was conducted in Communication &amp; Mass Media Complete (CMMC) on 19 September 2026. CMMC was selected because it indexes the principal journals of strategic, corporate and organizational communication, which is where the object of this review sits. The search was limited to peer-reviewed articles published in English within the last ten years.</w:t>
      </w:r>
    </w:p>
    <w:p>
      <w:pPr>
        <w:spacing w:line="360" w:lineRule="auto"/>
        <w:jc w:val="both"/>
        <w:rPr>
          <w:rFonts w:ascii="Times New Roman" w:hAnsi="Times New Roman" w:cs="Times New Roman"/>
        </w:rPr>
      </w:pPr>
      <w:r>
        <w:rPr>
          <w:rFonts w:ascii="Times New Roman" w:hAnsi="Times New Roman" w:cs="Times New Roman"/>
        </w:rPr>
        <w:t xml:space="preserve">An initial search combined five concepts and returned no results. Because each additional AND narrows a search, the strategy was rebuilt as two concept blocks, with synonyms combined by OR inside each block and the blocks combined by AND. Table 1 reports the searches that followed.</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00"/>
        <w:gridCol w:w="1500"/>
        <w:gridCol w:w="4200"/>
        <w:gridCol w:w="1000"/>
        <w:gridCol w:w="1000"/>
      </w:tblGrid>
      <w:tr>
        <w:tc>
          <w:tcPr>
            <w:tcW w:w="900" w:type="dxa"/>
          </w:tcPr>
          <w:p>
            <w:pPr>
              <w:spacing w:line="240" w:lineRule="auto" w:after="40"/>
            </w:pPr>
            <w:r>
              <w:rPr>
                <w:b/>
                <w:rFonts w:ascii="Times New Roman" w:hAnsi="Times New Roman" w:cs="Times New Roman"/>
                <w:sz w:val="20"/>
                <w:szCs w:val="20"/>
              </w:rPr>
              <w:t xml:space="preserve">Search</w:t>
            </w:r>
          </w:p>
        </w:tc>
        <w:tc>
          <w:tcPr>
            <w:tcW w:w="1500" w:type="dxa"/>
          </w:tcPr>
          <w:p>
            <w:pPr>
              <w:spacing w:line="240" w:lineRule="auto" w:after="40"/>
            </w:pPr>
            <w:r>
              <w:rPr>
                <w:b/>
                <w:rFonts w:ascii="Times New Roman" w:hAnsi="Times New Roman" w:cs="Times New Roman"/>
                <w:sz w:val="20"/>
                <w:szCs w:val="20"/>
              </w:rPr>
              <w:t xml:space="preserve">Database</w:t>
            </w:r>
          </w:p>
        </w:tc>
        <w:tc>
          <w:tcPr>
            <w:tcW w:w="4200" w:type="dxa"/>
          </w:tcPr>
          <w:p>
            <w:pPr>
              <w:spacing w:line="240" w:lineRule="auto" w:after="40"/>
            </w:pPr>
            <w:r>
              <w:rPr>
                <w:b/>
                <w:rFonts w:ascii="Times New Roman" w:hAnsi="Times New Roman" w:cs="Times New Roman"/>
                <w:sz w:val="20"/>
                <w:szCs w:val="20"/>
              </w:rPr>
              <w:t xml:space="preserve">Search string</w:t>
            </w:r>
          </w:p>
        </w:tc>
        <w:tc>
          <w:tcPr>
            <w:tcW w:w="1000" w:type="dxa"/>
          </w:tcPr>
          <w:p>
            <w:pPr>
              <w:spacing w:line="240" w:lineRule="auto" w:after="40"/>
            </w:pPr>
            <w:r>
              <w:rPr>
                <w:b/>
                <w:rFonts w:ascii="Times New Roman" w:hAnsi="Times New Roman" w:cs="Times New Roman"/>
                <w:sz w:val="20"/>
                <w:szCs w:val="20"/>
              </w:rPr>
              <w:t xml:space="preserve">Hits</w:t>
            </w:r>
          </w:p>
        </w:tc>
        <w:tc>
          <w:tcPr>
            <w:tcW w:w="1000" w:type="dxa"/>
          </w:tcPr>
          <w:p>
            <w:pPr>
              <w:spacing w:line="240" w:lineRule="auto" w:after="40"/>
            </w:pPr>
            <w:r>
              <w:rPr>
                <w:b/>
                <w:rFonts w:ascii="Times New Roman" w:hAnsi="Times New Roman" w:cs="Times New Roman"/>
                <w:sz w:val="20"/>
                <w:szCs w:val="20"/>
              </w:rPr>
              <w:t xml:space="preserve">Kept</w:t>
            </w:r>
          </w:p>
        </w:tc>
      </w:tr>
      <w:tr>
        <w:tc>
          <w:tcPr>
            <w:tcW w:w="900" w:type="dxa"/>
          </w:tcPr>
          <w:p>
            <w:pPr>
              <w:spacing w:line="240" w:lineRule="auto" w:after="40"/>
            </w:pPr>
            <w:r>
              <w:rPr>
                <w:rFonts w:ascii="Times New Roman" w:hAnsi="Times New Roman" w:cs="Times New Roman"/>
                <w:sz w:val="20"/>
                <w:szCs w:val="20"/>
              </w:rPr>
              <w:t xml:space="preserve">Initial</w:t>
            </w:r>
          </w:p>
        </w:tc>
        <w:tc>
          <w:tcPr>
            <w:tcW w:w="1500" w:type="dxa"/>
          </w:tcPr>
          <w:p>
            <w:pPr>
              <w:spacing w:line="240" w:lineRule="auto" w:after="40"/>
            </w:pPr>
            <w:r>
              <w:rPr>
                <w:rFonts w:ascii="Times New Roman" w:hAnsi="Times New Roman" w:cs="Times New Roman"/>
                <w:sz w:val="20"/>
                <w:szCs w:val="20"/>
              </w:rPr>
              <w:t xml:space="preserve">CMMC</w:t>
            </w:r>
          </w:p>
        </w:tc>
        <w:tc>
          <w:tcPr>
            <w:tcW w:w="4200" w:type="dxa"/>
          </w:tcPr>
          <w:p>
            <w:pPr>
              <w:spacing w:line="240" w:lineRule="auto" w:after="40"/>
            </w:pPr>
            <w:r>
              <w:rPr>
                <w:rFonts w:ascii="Times New Roman" w:hAnsi="Times New Roman" w:cs="Times New Roman"/>
                <w:sz w:val="20"/>
                <w:szCs w:val="20"/>
              </w:rPr>
              <w:t xml:space="preserve">strategic* AND authentic* AND claim* AND ("internal communication" AND "external communication")</w:t>
            </w:r>
          </w:p>
        </w:tc>
        <w:tc>
          <w:tcPr>
            <w:tcW w:w="1000" w:type="dxa"/>
          </w:tcPr>
          <w:p>
            <w:pPr>
              <w:spacing w:line="240" w:lineRule="auto" w:after="40"/>
            </w:pPr>
            <w:r>
              <w:rPr>
                <w:rFonts w:ascii="Times New Roman" w:hAnsi="Times New Roman" w:cs="Times New Roman"/>
                <w:sz w:val="20"/>
                <w:szCs w:val="20"/>
              </w:rPr>
              <w:t xml:space="preserve">0</w:t>
            </w:r>
          </w:p>
        </w:tc>
        <w:tc>
          <w:tcPr>
            <w:tcW w:w="1000" w:type="dxa"/>
          </w:tcPr>
          <w:p>
            <w:pPr>
              <w:spacing w:line="240" w:lineRule="auto" w:after="40"/>
            </w:pPr>
            <w:r>
              <w:rPr>
                <w:rFonts w:ascii="Times New Roman" w:hAnsi="Times New Roman" w:cs="Times New Roman"/>
                <w:sz w:val="20"/>
                <w:szCs w:val="20"/>
              </w:rPr>
              <w:t xml:space="preserve">0</w:t>
            </w:r>
          </w:p>
        </w:tc>
      </w:tr>
      <w:tr>
        <w:tc>
          <w:tcPr>
            <w:tcW w:w="900" w:type="dxa"/>
          </w:tcPr>
          <w:p>
            <w:pPr>
              <w:spacing w:line="240" w:lineRule="auto" w:after="40"/>
            </w:pPr>
            <w:r>
              <w:rPr>
                <w:rFonts w:ascii="Times New Roman" w:hAnsi="Times New Roman" w:cs="Times New Roman"/>
                <w:sz w:val="20"/>
                <w:szCs w:val="20"/>
              </w:rPr>
              <w:t xml:space="preserve">1</w:t>
            </w:r>
          </w:p>
        </w:tc>
        <w:tc>
          <w:tcPr>
            <w:tcW w:w="1500" w:type="dxa"/>
          </w:tcPr>
          <w:p>
            <w:pPr>
              <w:spacing w:line="240" w:lineRule="auto" w:after="40"/>
            </w:pPr>
            <w:r>
              <w:rPr>
                <w:rFonts w:ascii="Times New Roman" w:hAnsi="Times New Roman" w:cs="Times New Roman"/>
                <w:sz w:val="20"/>
                <w:szCs w:val="20"/>
              </w:rPr>
              <w:t xml:space="preserve">CMMC</w:t>
            </w:r>
          </w:p>
        </w:tc>
        <w:tc>
          <w:tcPr>
            <w:tcW w:w="4200" w:type="dxa"/>
          </w:tcPr>
          <w:p>
            <w:pPr>
              <w:spacing w:line="240" w:lineRule="auto" w:after="40"/>
            </w:pPr>
            <w:r>
              <w:rPr>
                <w:rFonts w:ascii="Times New Roman" w:hAnsi="Times New Roman" w:cs="Times New Roman"/>
                <w:sz w:val="20"/>
                <w:szCs w:val="20"/>
              </w:rPr>
              <w:t xml:space="preserve">authenticity AND "organi#ational communication"</w:t>
            </w:r>
          </w:p>
        </w:tc>
        <w:tc>
          <w:tcPr>
            <w:tcW w:w="1000" w:type="dxa"/>
          </w:tcPr>
          <w:p>
            <w:pPr>
              <w:spacing w:line="240" w:lineRule="auto" w:after="40"/>
            </w:pPr>
            <w:r>
              <w:rPr>
                <w:rFonts w:ascii="Times New Roman" w:hAnsi="Times New Roman" w:cs="Times New Roman"/>
                <w:sz w:val="20"/>
                <w:szCs w:val="20"/>
              </w:rPr>
              <w:t xml:space="preserve">9</w:t>
            </w:r>
          </w:p>
        </w:tc>
        <w:tc>
          <w:tcPr>
            <w:tcW w:w="1000" w:type="dxa"/>
          </w:tcPr>
          <w:p>
            <w:pPr>
              <w:spacing w:line="240" w:lineRule="auto" w:after="40"/>
            </w:pPr>
            <w:r>
              <w:rPr>
                <w:rFonts w:ascii="Times New Roman" w:hAnsi="Times New Roman" w:cs="Times New Roman"/>
                <w:sz w:val="20"/>
                <w:szCs w:val="20"/>
              </w:rPr>
              <w:t xml:space="preserve">5</w:t>
            </w:r>
          </w:p>
        </w:tc>
      </w:tr>
      <w:tr>
        <w:tc>
          <w:tcPr>
            <w:tcW w:w="900" w:type="dxa"/>
          </w:tcPr>
          <w:p>
            <w:pPr>
              <w:spacing w:line="240" w:lineRule="auto" w:after="40"/>
            </w:pPr>
            <w:r>
              <w:rPr>
                <w:rFonts w:ascii="Times New Roman" w:hAnsi="Times New Roman" w:cs="Times New Roman"/>
                <w:sz w:val="20"/>
                <w:szCs w:val="20"/>
              </w:rPr>
              <w:t xml:space="preserve">2</w:t>
            </w:r>
          </w:p>
        </w:tc>
        <w:tc>
          <w:tcPr>
            <w:tcW w:w="1500" w:type="dxa"/>
          </w:tcPr>
          <w:p>
            <w:pPr>
              <w:spacing w:line="240" w:lineRule="auto" w:after="40"/>
            </w:pPr>
            <w:r>
              <w:rPr>
                <w:rFonts w:ascii="Times New Roman" w:hAnsi="Times New Roman" w:cs="Times New Roman"/>
                <w:sz w:val="20"/>
                <w:szCs w:val="20"/>
              </w:rPr>
              <w:t xml:space="preserve">CMMC</w:t>
            </w:r>
          </w:p>
        </w:tc>
        <w:tc>
          <w:tcPr>
            <w:tcW w:w="4200" w:type="dxa"/>
          </w:tcPr>
          <w:p>
            <w:pPr>
              <w:spacing w:line="240" w:lineRule="auto" w:after="40"/>
            </w:pPr>
            <w:r>
              <w:rPr>
                <w:rFonts w:ascii="Times New Roman" w:hAnsi="Times New Roman" w:cs="Times New Roman"/>
                <w:sz w:val="20"/>
                <w:szCs w:val="20"/>
              </w:rPr>
              <w:t xml:space="preserve">authentic* AND ("strategic communication" OR "corporate communication" OR "organizational communication" OR "organisational communication")</w:t>
            </w:r>
          </w:p>
        </w:tc>
        <w:tc>
          <w:tcPr>
            <w:tcW w:w="1000" w:type="dxa"/>
          </w:tcPr>
          <w:p>
            <w:pPr>
              <w:spacing w:line="240" w:lineRule="auto" w:after="40"/>
            </w:pPr>
            <w:r>
              <w:rPr>
                <w:rFonts w:ascii="Times New Roman" w:hAnsi="Times New Roman" w:cs="Times New Roman"/>
                <w:sz w:val="20"/>
                <w:szCs w:val="20"/>
              </w:rPr>
              <w:t xml:space="preserve">77</w:t>
            </w:r>
          </w:p>
        </w:tc>
        <w:tc>
          <w:tcPr>
            <w:tcW w:w="1000" w:type="dxa"/>
          </w:tcPr>
          <w:p>
            <w:pPr>
              <w:spacing w:line="240" w:lineRule="auto" w:after="40"/>
            </w:pPr>
            <w:r>
              <w:rPr>
                <w:rFonts w:ascii="Times New Roman" w:hAnsi="Times New Roman" w:cs="Times New Roman"/>
                <w:sz w:val="20"/>
                <w:szCs w:val="20"/>
              </w:rPr>
              <w:t xml:space="preserve">14</w:t>
            </w:r>
          </w:p>
        </w:tc>
      </w:tr>
      <w:tr>
        <w:tc>
          <w:tcPr>
            <w:tcW w:w="900" w:type="dxa"/>
          </w:tcPr>
          <w:p>
            <w:pPr>
              <w:spacing w:line="240" w:lineRule="auto" w:after="40"/>
            </w:pPr>
            <w:r>
              <w:rPr>
                <w:rFonts w:ascii="Times New Roman" w:hAnsi="Times New Roman" w:cs="Times New Roman"/>
                <w:sz w:val="20"/>
                <w:szCs w:val="20"/>
              </w:rPr>
              <w:t xml:space="preserve">3</w:t>
            </w:r>
          </w:p>
        </w:tc>
        <w:tc>
          <w:tcPr>
            <w:tcW w:w="1500" w:type="dxa"/>
          </w:tcPr>
          <w:p>
            <w:pPr>
              <w:spacing w:line="240" w:lineRule="auto" w:after="40"/>
            </w:pPr>
            <w:r>
              <w:rPr>
                <w:rFonts w:ascii="Times New Roman" w:hAnsi="Times New Roman" w:cs="Times New Roman"/>
                <w:sz w:val="20"/>
                <w:szCs w:val="20"/>
              </w:rPr>
              <w:t xml:space="preserve">Chaining</w:t>
            </w:r>
          </w:p>
        </w:tc>
        <w:tc>
          <w:tcPr>
            <w:tcW w:w="4200" w:type="dxa"/>
          </w:tcPr>
          <w:p>
            <w:pPr>
              <w:spacing w:line="240" w:lineRule="auto" w:after="40"/>
            </w:pPr>
            <w:r>
              <w:rPr>
                <w:rFonts w:ascii="Times New Roman" w:hAnsi="Times New Roman" w:cs="Times New Roman"/>
                <w:sz w:val="20"/>
                <w:szCs w:val="20"/>
              </w:rPr>
              <w:t xml:space="preserve">Backward citation chaining from Christensen and Cornelissen (2011) and Muller (2017)</w:t>
            </w:r>
          </w:p>
        </w:tc>
        <w:tc>
          <w:tcPr>
            <w:tcW w:w="1000" w:type="dxa"/>
          </w:tcPr>
          <w:p>
            <w:pPr>
              <w:spacing w:line="240" w:lineRule="auto" w:after="40"/>
            </w:pPr>
            <w:r>
              <w:rPr>
                <w:rFonts w:ascii="Times New Roman" w:hAnsi="Times New Roman" w:cs="Times New Roman"/>
                <w:sz w:val="20"/>
                <w:szCs w:val="20"/>
              </w:rPr>
              <w:t xml:space="preserve">n/a</w:t>
            </w:r>
          </w:p>
        </w:tc>
        <w:tc>
          <w:tcPr>
            <w:tcW w:w="1000" w:type="dxa"/>
          </w:tcPr>
          <w:p>
            <w:pPr>
              <w:spacing w:line="240" w:lineRule="auto" w:after="40"/>
            </w:pPr>
            <w:r>
              <w:rPr>
                <w:rFonts w:ascii="Times New Roman" w:hAnsi="Times New Roman" w:cs="Times New Roman"/>
                <w:sz w:val="20"/>
                <w:szCs w:val="20"/>
              </w:rPr>
              <w:t xml:space="preserve">6</w:t>
            </w:r>
          </w:p>
        </w:tc>
      </w:tr>
    </w:tbl>
    <w:p>
      <w:pPr>
        <w:spacing w:line="360" w:lineRule="auto"/>
        <w:jc w:val="both"/>
        <w:rPr>
          <w:rFonts w:ascii="Times New Roman" w:hAnsi="Times New Roman" w:cs="Times New Roman"/>
        </w:rPr>
      </w:pPr>
      <w:r>
        <w:rPr>
          <w:i/>
          <w:rFonts w:ascii="Times New Roman" w:hAnsi="Times New Roman" w:cs="Times New Roman"/>
        </w:rPr>
        <w:t xml:space="preserve">Table 1. Search strategy, Communication &amp; Mass Media Complete, peer-reviewed, last ten years.</w:t>
      </w:r>
    </w:p>
    <w:p>
      <w:pPr>
        <w:spacing w:line="360" w:lineRule="auto"/>
        <w:jc w:val="both"/>
        <w:rPr>
          <w:rFonts w:ascii="Times New Roman" w:hAnsi="Times New Roman" w:cs="Times New Roman"/>
        </w:rPr>
      </w:pPr>
      <w:r>
        <w:rPr>
          <w:rFonts w:ascii="Times New Roman" w:hAnsi="Times New Roman" w:cs="Times New Roman"/>
        </w:rPr>
        <w:t xml:space="preserve">Search 1 was deliberately narrow and returned nine articles, of which five were screened in. Search 2 broadened the second block to the principal subfield labels and returned 77 articles, of which 14 were screened in after reading titles and abstracts.</w:t>
      </w:r>
    </w:p>
    <w:p>
      <w:pPr>
        <w:spacing w:line="360" w:lineRule="auto"/>
        <w:jc w:val="both"/>
        <w:rPr>
          <w:rFonts w:ascii="Times New Roman" w:hAnsi="Times New Roman" w:cs="Times New Roman"/>
        </w:rPr>
      </w:pPr>
      <w:r>
        <w:rPr>
          <w:rFonts w:ascii="Times New Roman" w:hAnsi="Times New Roman" w:cs="Times New Roman"/>
        </w:rPr>
        <w:t xml:space="preserve">Articles were included where authenticity is treated as a property, a claim or a perception at the organizational or brand level. Articles were excluded where authenticity refers to individual psychological authenticity with no organizational dimension, and where the organization is the setting of the study rather than the object of the authenticity claim.</w:t>
      </w:r>
    </w:p>
    <w:p>
      <w:pPr>
        <w:spacing w:line="360" w:lineRule="auto"/>
        <w:jc w:val="both"/>
        <w:rPr>
          <w:rFonts w:ascii="Times New Roman" w:hAnsi="Times New Roman" w:cs="Times New Roman"/>
        </w:rPr>
      </w:pPr>
      <w:r>
        <w:rPr>
          <w:rFonts w:ascii="Times New Roman" w:hAnsi="Times New Roman" w:cs="Times New Roman"/>
        </w:rPr>
        <w:t xml:space="preserve">Two limits of this strategy should be stated. First, CMMC indexes communication journals. The research that treats authenticity as an instrument of control over employees is published mainly in management and organization studies, and is therefore not well represented in the database results. That literature was located instead through backward citation chaining. Second, the ten-year limit was applied in order to capture current research, but several works central to this field predate it. These were included on the basis of their standing in the literature rather than through the database search.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14:paraId="7F25900C" w14:textId="77777777" w:rsidR="00862010" w:rsidRPr="00F02E80" w:rsidRDefault="00862010" w:rsidP="007F6107">
      <w:pPr>
        <w:spacing w:line="360" w:lineRule="auto"/>
        <w:jc w:val="both"/>
        <w:rPr>
          <w:rFonts w:ascii="Times New Roman" w:hAnsi="Times New Roman" w:cs="Times New Roman"/>
        </w:rPr>
      </w:pP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