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systematic searches of two databases, supplemented by backward citation chaining. Communication &amp; Mass Media Complete (CMMC) was searched because it indexes the principal journals of strategic, corporate and organizational communication. Scopus was added because the research that treats authenticity as an instrument of control over employees is published mainly in management and organization studies, in journals that CMMC does not index. Searches were limited to peer-reviewed articles published in English from 2000 onwards.</w:t>
      </w:r>
    </w:p>
    <w:p>
      <w:pPr>
        <w:spacing w:line="360" w:lineRule="auto"/>
        <w:jc w:val="both"/>
        <w:rPr>
          <w:rFonts w:ascii="Times New Roman" w:hAnsi="Times New Roman" w:cs="Times New Roman"/>
        </w:rPr>
      </w:pPr>
      <w:r>
        <w:rPr>
          <w:rFonts w:ascii="Times New Roman" w:hAnsi="Times New Roman" w:cs="Times New Roman"/>
        </w:rPr>
        <w:t xml:space="preserve">An initial search combined five concepts and returned no results. Because each additional AND narrows a search, the strategy was rebuilt as concept blocks, with synonyms combined by OR inside each block and no more than two blocks combined by AND. Each subsequent search was designed to address one of the four strands that organize the results section, so that the organizing principle follows from the literature rather than being imposed on it. Table 1 reports the full strategy.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
        <w:gridCol w:w="900"/>
        <w:gridCol w:w="4150"/>
        <w:gridCol w:w="750"/>
        <w:gridCol w:w="750"/>
        <w:gridCol w:w="1050"/>
      </w:tblGrid>
      <w:tr>
        <w:tc>
          <w:tcPr>
            <w:tcW w:w="500" w:type="dxa"/>
          </w:tcPr>
          <w:p>
            <w:pPr>
              <w:spacing w:line="240" w:lineRule="auto" w:after="30"/>
            </w:pPr>
            <w:r>
              <w:rPr>
                <w:b/>
                <w:rFonts w:ascii="Times New Roman" w:hAnsi="Times New Roman" w:cs="Times New Roman"/>
                <w:sz w:val="18"/>
                <w:szCs w:val="18"/>
              </w:rPr>
              <w:t xml:space="preserve">#</w:t>
            </w:r>
          </w:p>
        </w:tc>
        <w:tc>
          <w:tcPr>
            <w:tcW w:w="900" w:type="dxa"/>
          </w:tcPr>
          <w:p>
            <w:pPr>
              <w:spacing w:line="240" w:lineRule="auto" w:after="30"/>
            </w:pPr>
            <w:r>
              <w:rPr>
                <w:b/>
                <w:rFonts w:ascii="Times New Roman" w:hAnsi="Times New Roman" w:cs="Times New Roman"/>
                <w:sz w:val="18"/>
                <w:szCs w:val="18"/>
              </w:rPr>
              <w:t xml:space="preserve">Database</w:t>
            </w:r>
          </w:p>
        </w:tc>
        <w:tc>
          <w:tcPr>
            <w:tcW w:w="4150" w:type="dxa"/>
          </w:tcPr>
          <w:p>
            <w:pPr>
              <w:spacing w:line="240" w:lineRule="auto" w:after="30"/>
            </w:pPr>
            <w:r>
              <w:rPr>
                <w:b/>
                <w:rFonts w:ascii="Times New Roman" w:hAnsi="Times New Roman" w:cs="Times New Roman"/>
                <w:sz w:val="18"/>
                <w:szCs w:val="18"/>
              </w:rPr>
              <w:t xml:space="preserve">Search string</w:t>
            </w:r>
          </w:p>
        </w:tc>
        <w:tc>
          <w:tcPr>
            <w:tcW w:w="750" w:type="dxa"/>
          </w:tcPr>
          <w:p>
            <w:pPr>
              <w:spacing w:line="240" w:lineRule="auto" w:after="30"/>
            </w:pPr>
            <w:r>
              <w:rPr>
                <w:b/>
                <w:rFonts w:ascii="Times New Roman" w:hAnsi="Times New Roman" w:cs="Times New Roman"/>
                <w:sz w:val="18"/>
                <w:szCs w:val="18"/>
              </w:rPr>
              <w:t xml:space="preserve">Hits</w:t>
            </w:r>
          </w:p>
        </w:tc>
        <w:tc>
          <w:tcPr>
            <w:tcW w:w="750" w:type="dxa"/>
          </w:tcPr>
          <w:p>
            <w:pPr>
              <w:spacing w:line="240" w:lineRule="auto" w:after="30"/>
            </w:pPr>
            <w:r>
              <w:rPr>
                <w:b/>
                <w:rFonts w:ascii="Times New Roman" w:hAnsi="Times New Roman" w:cs="Times New Roman"/>
                <w:sz w:val="18"/>
                <w:szCs w:val="18"/>
              </w:rPr>
              <w:t xml:space="preserve">Kept</w:t>
            </w:r>
          </w:p>
        </w:tc>
        <w:tc>
          <w:tcPr>
            <w:tcW w:w="1050" w:type="dxa"/>
          </w:tcPr>
          <w:p>
            <w:pPr>
              <w:spacing w:line="240" w:lineRule="auto" w:after="30"/>
            </w:pPr>
            <w:r>
              <w:rPr>
                <w:b/>
                <w:rFonts w:ascii="Times New Roman" w:hAnsi="Times New Roman" w:cs="Times New Roman"/>
                <w:sz w:val="18"/>
                <w:szCs w:val="18"/>
              </w:rPr>
              <w:t xml:space="preserve">Feeds</w:t>
            </w:r>
          </w:p>
        </w:tc>
      </w:tr>
      <w:tr>
        <w:tc>
          <w:tcPr>
            <w:tcW w:w="500" w:type="dxa"/>
          </w:tcPr>
          <w:p>
            <w:pPr>
              <w:spacing w:line="240" w:lineRule="auto" w:after="30"/>
            </w:pPr>
            <w:r>
              <w:rPr>
                <w:rFonts w:ascii="Times New Roman" w:hAnsi="Times New Roman" w:cs="Times New Roman"/>
                <w:sz w:val="18"/>
                <w:szCs w:val="18"/>
              </w:rPr>
              <w:t xml:space="preserve">0</w:t>
            </w:r>
          </w:p>
        </w:tc>
        <w:tc>
          <w:tcPr>
            <w:tcW w:w="900" w:type="dxa"/>
          </w:tcPr>
          <w:p>
            <w:pPr>
              <w:spacing w:line="240" w:lineRule="auto" w:after="30"/>
            </w:pPr>
            <w:r>
              <w:rPr>
                <w:rFonts w:ascii="Times New Roman" w:hAnsi="Times New Roman" w:cs="Times New Roman"/>
                <w:sz w:val="18"/>
                <w:szCs w:val="18"/>
              </w:rPr>
              <w:t xml:space="preserve">CMMC</w:t>
            </w:r>
          </w:p>
        </w:tc>
        <w:tc>
          <w:tcPr>
            <w:tcW w:w="4150" w:type="dxa"/>
          </w:tcPr>
          <w:p>
            <w:pPr>
              <w:spacing w:line="240" w:lineRule="auto" w:after="30"/>
            </w:pPr>
            <w:r>
              <w:rPr>
                <w:rFonts w:ascii="Times New Roman" w:hAnsi="Times New Roman" w:cs="Times New Roman"/>
                <w:sz w:val="18"/>
                <w:szCs w:val="18"/>
              </w:rPr>
              <w:t xml:space="preserve">strategic* AND authentic* AND claim* AND ("internal communication" AND "external communication")</w:t>
            </w:r>
          </w:p>
        </w:tc>
        <w:tc>
          <w:tcPr>
            <w:tcW w:w="750" w:type="dxa"/>
          </w:tcPr>
          <w:p>
            <w:pPr>
              <w:spacing w:line="240" w:lineRule="auto" w:after="30"/>
            </w:pPr>
            <w:r>
              <w:rPr>
                <w:rFonts w:ascii="Times New Roman" w:hAnsi="Times New Roman" w:cs="Times New Roman"/>
                <w:sz w:val="18"/>
                <w:szCs w:val="18"/>
              </w:rPr>
              <w:t xml:space="preserve">0</w:t>
            </w:r>
          </w:p>
        </w:tc>
        <w:tc>
          <w:tcPr>
            <w:tcW w:w="750" w:type="dxa"/>
          </w:tcPr>
          <w:p>
            <w:pPr>
              <w:spacing w:line="240" w:lineRule="auto" w:after="30"/>
            </w:pPr>
            <w:r>
              <w:rPr>
                <w:rFonts w:ascii="Times New Roman" w:hAnsi="Times New Roman" w:cs="Times New Roman"/>
                <w:sz w:val="18"/>
                <w:szCs w:val="18"/>
              </w:rPr>
              <w:t xml:space="preserve">0</w:t>
            </w:r>
          </w:p>
        </w:tc>
        <w:tc>
          <w:tcPr>
            <w:tcW w:w="1050" w:type="dxa"/>
          </w:tcPr>
          <w:p>
            <w:pPr>
              <w:spacing w:line="240" w:lineRule="auto" w:after="30"/>
            </w:pPr>
            <w:r>
              <w:rPr>
                <w:rFonts w:ascii="Times New Roman" w:hAnsi="Times New Roman" w:cs="Times New Roman"/>
                <w:sz w:val="18"/>
                <w:szCs w:val="18"/>
              </w:rPr>
              <w:t xml:space="preserve">(discarded)</w:t>
            </w:r>
          </w:p>
        </w:tc>
      </w:tr>
      <w:tr>
        <w:tc>
          <w:tcPr>
            <w:tcW w:w="500" w:type="dxa"/>
          </w:tcPr>
          <w:p>
            <w:pPr>
              <w:spacing w:line="240" w:lineRule="auto" w:after="30"/>
            </w:pPr>
            <w:r>
              <w:rPr>
                <w:rFonts w:ascii="Times New Roman" w:hAnsi="Times New Roman" w:cs="Times New Roman"/>
                <w:sz w:val="18"/>
                <w:szCs w:val="18"/>
              </w:rPr>
              <w:t xml:space="preserve">1</w:t>
            </w:r>
          </w:p>
        </w:tc>
        <w:tc>
          <w:tcPr>
            <w:tcW w:w="900" w:type="dxa"/>
          </w:tcPr>
          <w:p>
            <w:pPr>
              <w:spacing w:line="240" w:lineRule="auto" w:after="30"/>
            </w:pPr>
            <w:r>
              <w:rPr>
                <w:rFonts w:ascii="Times New Roman" w:hAnsi="Times New Roman" w:cs="Times New Roman"/>
                <w:sz w:val="18"/>
                <w:szCs w:val="18"/>
              </w:rPr>
              <w:t xml:space="preserve">CMMC</w:t>
            </w:r>
          </w:p>
        </w:tc>
        <w:tc>
          <w:tcPr>
            <w:tcW w:w="4150" w:type="dxa"/>
          </w:tcPr>
          <w:p>
            <w:pPr>
              <w:spacing w:line="240" w:lineRule="auto" w:after="30"/>
            </w:pPr>
            <w:r>
              <w:rPr>
                <w:rFonts w:ascii="Times New Roman" w:hAnsi="Times New Roman" w:cs="Times New Roman"/>
                <w:sz w:val="18"/>
                <w:szCs w:val="18"/>
              </w:rPr>
              <w:t xml:space="preserve">authenticity AND "organi#ational communication"</w:t>
            </w:r>
          </w:p>
        </w:tc>
        <w:tc>
          <w:tcPr>
            <w:tcW w:w="750" w:type="dxa"/>
          </w:tcPr>
          <w:p>
            <w:pPr>
              <w:spacing w:line="240" w:lineRule="auto" w:after="30"/>
            </w:pPr>
            <w:r>
              <w:rPr>
                <w:rFonts w:ascii="Times New Roman" w:hAnsi="Times New Roman" w:cs="Times New Roman"/>
                <w:sz w:val="18"/>
                <w:szCs w:val="18"/>
              </w:rPr>
              <w:t xml:space="preserve">9</w:t>
            </w:r>
          </w:p>
        </w:tc>
        <w:tc>
          <w:tcPr>
            <w:tcW w:w="750" w:type="dxa"/>
          </w:tcPr>
          <w:p>
            <w:pPr>
              <w:spacing w:line="240" w:lineRule="auto" w:after="30"/>
            </w:pPr>
            <w:r>
              <w:rPr>
                <w:rFonts w:ascii="Times New Roman" w:hAnsi="Times New Roman" w:cs="Times New Roman"/>
                <w:sz w:val="18"/>
                <w:szCs w:val="18"/>
              </w:rPr>
              <w:t xml:space="preserve">5</w:t>
            </w:r>
          </w:p>
        </w:tc>
        <w:tc>
          <w:tcPr>
            <w:tcW w:w="1050" w:type="dxa"/>
          </w:tcPr>
          <w:p>
            <w:pPr>
              <w:spacing w:line="240" w:lineRule="auto" w:after="30"/>
            </w:pPr>
            <w:r>
              <w:rPr>
                <w:rFonts w:ascii="Times New Roman" w:hAnsi="Times New Roman" w:cs="Times New Roman"/>
                <w:sz w:val="18"/>
                <w:szCs w:val="18"/>
              </w:rPr>
              <w:t xml:space="preserve">Overview</w:t>
            </w:r>
          </w:p>
        </w:tc>
      </w:tr>
      <w:tr>
        <w:tc>
          <w:tcPr>
            <w:tcW w:w="500" w:type="dxa"/>
          </w:tcPr>
          <w:p>
            <w:pPr>
              <w:spacing w:line="240" w:lineRule="auto" w:after="30"/>
            </w:pPr>
            <w:r>
              <w:rPr>
                <w:rFonts w:ascii="Times New Roman" w:hAnsi="Times New Roman" w:cs="Times New Roman"/>
                <w:sz w:val="18"/>
                <w:szCs w:val="18"/>
              </w:rPr>
              <w:t xml:space="preserve">2</w:t>
            </w:r>
          </w:p>
        </w:tc>
        <w:tc>
          <w:tcPr>
            <w:tcW w:w="900" w:type="dxa"/>
          </w:tcPr>
          <w:p>
            <w:pPr>
              <w:spacing w:line="240" w:lineRule="auto" w:after="30"/>
            </w:pPr>
            <w:r>
              <w:rPr>
                <w:rFonts w:ascii="Times New Roman" w:hAnsi="Times New Roman" w:cs="Times New Roman"/>
                <w:sz w:val="18"/>
                <w:szCs w:val="18"/>
              </w:rPr>
              <w:t xml:space="preserve">CMMC</w:t>
            </w:r>
          </w:p>
        </w:tc>
        <w:tc>
          <w:tcPr>
            <w:tcW w:w="4150" w:type="dxa"/>
          </w:tcPr>
          <w:p>
            <w:pPr>
              <w:spacing w:line="240" w:lineRule="auto" w:after="30"/>
            </w:pPr>
            <w:r>
              <w:rPr>
                <w:rFonts w:ascii="Times New Roman" w:hAnsi="Times New Roman" w:cs="Times New Roman"/>
                <w:sz w:val="18"/>
                <w:szCs w:val="18"/>
              </w:rPr>
              <w:t xml:space="preserve">authentic* AND ("strategic communication" OR "corporate communication" OR "organizational communication" OR "organisational communication")</w:t>
            </w:r>
          </w:p>
        </w:tc>
        <w:tc>
          <w:tcPr>
            <w:tcW w:w="750" w:type="dxa"/>
          </w:tcPr>
          <w:p>
            <w:pPr>
              <w:spacing w:line="240" w:lineRule="auto" w:after="30"/>
            </w:pPr>
            <w:r>
              <w:rPr>
                <w:rFonts w:ascii="Times New Roman" w:hAnsi="Times New Roman" w:cs="Times New Roman"/>
                <w:sz w:val="18"/>
                <w:szCs w:val="18"/>
              </w:rPr>
              <w:t xml:space="preserve">77</w:t>
            </w:r>
          </w:p>
        </w:tc>
        <w:tc>
          <w:tcPr>
            <w:tcW w:w="750" w:type="dxa"/>
          </w:tcPr>
          <w:p>
            <w:pPr>
              <w:spacing w:line="240" w:lineRule="auto" w:after="30"/>
            </w:pPr>
            <w:r>
              <w:rPr>
                <w:rFonts w:ascii="Times New Roman" w:hAnsi="Times New Roman" w:cs="Times New Roman"/>
                <w:sz w:val="18"/>
                <w:szCs w:val="18"/>
              </w:rPr>
              <w:t xml:space="preserve">14</w:t>
            </w:r>
          </w:p>
        </w:tc>
        <w:tc>
          <w:tcPr>
            <w:tcW w:w="1050" w:type="dxa"/>
          </w:tcPr>
          <w:p>
            <w:pPr>
              <w:spacing w:line="240" w:lineRule="auto" w:after="30"/>
            </w:pPr>
            <w:r>
              <w:rPr>
                <w:rFonts w:ascii="Times New Roman" w:hAnsi="Times New Roman" w:cs="Times New Roman"/>
                <w:sz w:val="18"/>
                <w:szCs w:val="18"/>
              </w:rPr>
              <w:t xml:space="preserve">Overview, 2, 3</w:t>
            </w:r>
          </w:p>
        </w:tc>
      </w:tr>
      <w:tr>
        <w:tc>
          <w:tcPr>
            <w:tcW w:w="500" w:type="dxa"/>
          </w:tcPr>
          <w:p>
            <w:pPr>
              <w:spacing w:line="240" w:lineRule="auto" w:after="30"/>
            </w:pPr>
            <w:r>
              <w:rPr>
                <w:rFonts w:ascii="Times New Roman" w:hAnsi="Times New Roman" w:cs="Times New Roman"/>
                <w:sz w:val="18"/>
                <w:szCs w:val="18"/>
              </w:rPr>
              <w:t xml:space="preserve">3</w:t>
            </w:r>
          </w:p>
        </w:tc>
        <w:tc>
          <w:tcPr>
            <w:tcW w:w="900" w:type="dxa"/>
          </w:tcPr>
          <w:p>
            <w:pPr>
              <w:spacing w:line="240" w:lineRule="auto" w:after="30"/>
            </w:pPr>
            <w:r>
              <w:rPr>
                <w:rFonts w:ascii="Times New Roman" w:hAnsi="Times New Roman" w:cs="Times New Roman"/>
                <w:sz w:val="18"/>
                <w:szCs w:val="18"/>
              </w:rPr>
              <w:t xml:space="preserve">Scopus</w:t>
            </w:r>
          </w:p>
        </w:tc>
        <w:tc>
          <w:tcPr>
            <w:tcW w:w="4150" w:type="dxa"/>
          </w:tcPr>
          <w:p>
            <w:pPr>
              <w:spacing w:line="240" w:lineRule="auto" w:after="30"/>
            </w:pPr>
            <w:r>
              <w:rPr>
                <w:rFonts w:ascii="Times New Roman" w:hAnsi="Times New Roman" w:cs="Times New Roman"/>
                <w:sz w:val="18"/>
                <w:szCs w:val="18"/>
              </w:rPr>
              <w:t xml:space="preserve">"organizational authenticity" OR "organisational authenticity" OR "corporate authenticity" OR "authentic organization*"</w:t>
            </w:r>
          </w:p>
        </w:tc>
        <w:tc>
          <w:tcPr>
            <w:tcW w:w="750" w:type="dxa"/>
          </w:tcPr>
          <w:p>
            <w:pPr>
              <w:spacing w:line="240" w:lineRule="auto" w:after="30"/>
            </w:pPr>
            <w:r>
              <w:rPr>
                <w:rFonts w:ascii="Times New Roman" w:hAnsi="Times New Roman" w:cs="Times New Roman"/>
                <w:sz w:val="18"/>
                <w:szCs w:val="18"/>
              </w:rPr>
              <w:t xml:space="preserve">100</w:t>
            </w:r>
          </w:p>
        </w:tc>
        <w:tc>
          <w:tcPr>
            <w:tcW w:w="750" w:type="dxa"/>
          </w:tcPr>
          <w:p>
            <w:pPr>
              <w:spacing w:line="240" w:lineRule="auto" w:after="30"/>
            </w:pPr>
            <w:r>
              <w:rPr>
                <w:rFonts w:ascii="Times New Roman" w:hAnsi="Times New Roman" w:cs="Times New Roman"/>
                <w:sz w:val="18"/>
                <w:szCs w:val="18"/>
              </w:rPr>
              <w:t xml:space="preserve">[FILL]</w:t>
            </w:r>
          </w:p>
        </w:tc>
        <w:tc>
          <w:tcPr>
            <w:tcW w:w="1050" w:type="dxa"/>
          </w:tcPr>
          <w:p>
            <w:pPr>
              <w:spacing w:line="240" w:lineRule="auto" w:after="30"/>
            </w:pPr>
            <w:r>
              <w:rPr>
                <w:rFonts w:ascii="Times New Roman" w:hAnsi="Times New Roman" w:cs="Times New Roman"/>
                <w:sz w:val="18"/>
                <w:szCs w:val="18"/>
              </w:rPr>
              <w:t xml:space="preserve">Strand 1</w:t>
            </w:r>
          </w:p>
        </w:tc>
      </w:tr>
      <w:tr>
        <w:tc>
          <w:tcPr>
            <w:tcW w:w="500" w:type="dxa"/>
          </w:tcPr>
          <w:p>
            <w:pPr>
              <w:spacing w:line="240" w:lineRule="auto" w:after="30"/>
            </w:pPr>
            <w:r>
              <w:rPr>
                <w:rFonts w:ascii="Times New Roman" w:hAnsi="Times New Roman" w:cs="Times New Roman"/>
                <w:sz w:val="18"/>
                <w:szCs w:val="18"/>
              </w:rPr>
              <w:t xml:space="preserve">4</w:t>
            </w:r>
          </w:p>
        </w:tc>
        <w:tc>
          <w:tcPr>
            <w:tcW w:w="900" w:type="dxa"/>
          </w:tcPr>
          <w:p>
            <w:pPr>
              <w:spacing w:line="240" w:lineRule="auto" w:after="30"/>
            </w:pPr>
            <w:r>
              <w:rPr>
                <w:rFonts w:ascii="Times New Roman" w:hAnsi="Times New Roman" w:cs="Times New Roman"/>
                <w:sz w:val="18"/>
                <w:szCs w:val="18"/>
              </w:rPr>
              <w:t xml:space="preserve">Scopus</w:t>
            </w:r>
          </w:p>
        </w:tc>
        <w:tc>
          <w:tcPr>
            <w:tcW w:w="4150" w:type="dxa"/>
          </w:tcPr>
          <w:p>
            <w:pPr>
              <w:spacing w:line="240" w:lineRule="auto" w:after="30"/>
            </w:pPr>
            <w:r>
              <w:rPr>
                <w:rFonts w:ascii="Times New Roman" w:hAnsi="Times New Roman" w:cs="Times New Roman"/>
                <w:sz w:val="18"/>
                <w:szCs w:val="18"/>
              </w:rPr>
              <w:t xml:space="preserve">("brand authenticity" OR "perceived authenticity") AND (consumer* OR stakeholder* OR audience* OR public*)</w:t>
            </w:r>
          </w:p>
        </w:tc>
        <w:tc>
          <w:tcPr>
            <w:tcW w:w="750" w:type="dxa"/>
          </w:tcPr>
          <w:p>
            <w:pPr>
              <w:spacing w:line="240" w:lineRule="auto" w:after="30"/>
            </w:pPr>
            <w:r>
              <w:rPr>
                <w:rFonts w:ascii="Times New Roman" w:hAnsi="Times New Roman" w:cs="Times New Roman"/>
                <w:sz w:val="18"/>
                <w:szCs w:val="18"/>
              </w:rPr>
              <w:t xml:space="preserve">[FILL]</w:t>
            </w:r>
          </w:p>
        </w:tc>
        <w:tc>
          <w:tcPr>
            <w:tcW w:w="750" w:type="dxa"/>
          </w:tcPr>
          <w:p>
            <w:pPr>
              <w:spacing w:line="240" w:lineRule="auto" w:after="30"/>
            </w:pPr>
            <w:r>
              <w:rPr>
                <w:rFonts w:ascii="Times New Roman" w:hAnsi="Times New Roman" w:cs="Times New Roman"/>
                <w:sz w:val="18"/>
                <w:szCs w:val="18"/>
              </w:rPr>
              <w:t xml:space="preserve">[FILL]</w:t>
            </w:r>
          </w:p>
        </w:tc>
        <w:tc>
          <w:tcPr>
            <w:tcW w:w="1050" w:type="dxa"/>
          </w:tcPr>
          <w:p>
            <w:pPr>
              <w:spacing w:line="240" w:lineRule="auto" w:after="30"/>
            </w:pPr>
            <w:r>
              <w:rPr>
                <w:rFonts w:ascii="Times New Roman" w:hAnsi="Times New Roman" w:cs="Times New Roman"/>
                <w:sz w:val="18"/>
                <w:szCs w:val="18"/>
              </w:rPr>
              <w:t xml:space="preserve">Strand 2</w:t>
            </w:r>
          </w:p>
        </w:tc>
      </w:tr>
      <w:tr>
        <w:tc>
          <w:tcPr>
            <w:tcW w:w="500" w:type="dxa"/>
          </w:tcPr>
          <w:p>
            <w:pPr>
              <w:spacing w:line="240" w:lineRule="auto" w:after="30"/>
            </w:pPr>
            <w:r>
              <w:rPr>
                <w:rFonts w:ascii="Times New Roman" w:hAnsi="Times New Roman" w:cs="Times New Roman"/>
                <w:sz w:val="18"/>
                <w:szCs w:val="18"/>
              </w:rPr>
              <w:t xml:space="preserve">5</w:t>
            </w:r>
          </w:p>
        </w:tc>
        <w:tc>
          <w:tcPr>
            <w:tcW w:w="900" w:type="dxa"/>
          </w:tcPr>
          <w:p>
            <w:pPr>
              <w:spacing w:line="240" w:lineRule="auto" w:after="30"/>
            </w:pPr>
            <w:r>
              <w:rPr>
                <w:rFonts w:ascii="Times New Roman" w:hAnsi="Times New Roman" w:cs="Times New Roman"/>
                <w:sz w:val="18"/>
                <w:szCs w:val="18"/>
              </w:rPr>
              <w:t xml:space="preserve">Scopus</w:t>
            </w:r>
          </w:p>
        </w:tc>
        <w:tc>
          <w:tcPr>
            <w:tcW w:w="4150" w:type="dxa"/>
          </w:tcPr>
          <w:p>
            <w:pPr>
              <w:spacing w:line="240" w:lineRule="auto" w:after="30"/>
            </w:pPr>
            <w:r>
              <w:rPr>
                <w:rFonts w:ascii="Times New Roman" w:hAnsi="Times New Roman" w:cs="Times New Roman"/>
                <w:sz w:val="18"/>
                <w:szCs w:val="18"/>
              </w:rPr>
              <w:t xml:space="preserve">authentic* AND ("CSR communication" OR "corporate social advocacy" OR "brand communication" OR advertis*)</w:t>
            </w:r>
          </w:p>
        </w:tc>
        <w:tc>
          <w:tcPr>
            <w:tcW w:w="750" w:type="dxa"/>
          </w:tcPr>
          <w:p>
            <w:pPr>
              <w:spacing w:line="240" w:lineRule="auto" w:after="30"/>
            </w:pPr>
            <w:r>
              <w:rPr>
                <w:rFonts w:ascii="Times New Roman" w:hAnsi="Times New Roman" w:cs="Times New Roman"/>
                <w:sz w:val="18"/>
                <w:szCs w:val="18"/>
              </w:rPr>
              <w:t xml:space="preserve">[FILL]</w:t>
            </w:r>
          </w:p>
        </w:tc>
        <w:tc>
          <w:tcPr>
            <w:tcW w:w="750" w:type="dxa"/>
          </w:tcPr>
          <w:p>
            <w:pPr>
              <w:spacing w:line="240" w:lineRule="auto" w:after="30"/>
            </w:pPr>
            <w:r>
              <w:rPr>
                <w:rFonts w:ascii="Times New Roman" w:hAnsi="Times New Roman" w:cs="Times New Roman"/>
                <w:sz w:val="18"/>
                <w:szCs w:val="18"/>
              </w:rPr>
              <w:t xml:space="preserve">[FILL]</w:t>
            </w:r>
          </w:p>
        </w:tc>
        <w:tc>
          <w:tcPr>
            <w:tcW w:w="1050" w:type="dxa"/>
          </w:tcPr>
          <w:p>
            <w:pPr>
              <w:spacing w:line="240" w:lineRule="auto" w:after="30"/>
            </w:pPr>
            <w:r>
              <w:rPr>
                <w:rFonts w:ascii="Times New Roman" w:hAnsi="Times New Roman" w:cs="Times New Roman"/>
                <w:sz w:val="18"/>
                <w:szCs w:val="18"/>
              </w:rPr>
              <w:t xml:space="preserve">Strand 3</w:t>
            </w:r>
          </w:p>
        </w:tc>
      </w:tr>
      <w:tr>
        <w:tc>
          <w:tcPr>
            <w:tcW w:w="500" w:type="dxa"/>
          </w:tcPr>
          <w:p>
            <w:pPr>
              <w:spacing w:line="240" w:lineRule="auto" w:after="30"/>
            </w:pPr>
            <w:r>
              <w:rPr>
                <w:rFonts w:ascii="Times New Roman" w:hAnsi="Times New Roman" w:cs="Times New Roman"/>
                <w:sz w:val="18"/>
                <w:szCs w:val="18"/>
              </w:rPr>
              <w:t xml:space="preserve">6</w:t>
            </w:r>
          </w:p>
        </w:tc>
        <w:tc>
          <w:tcPr>
            <w:tcW w:w="900" w:type="dxa"/>
          </w:tcPr>
          <w:p>
            <w:pPr>
              <w:spacing w:line="240" w:lineRule="auto" w:after="30"/>
            </w:pPr>
            <w:r>
              <w:rPr>
                <w:rFonts w:ascii="Times New Roman" w:hAnsi="Times New Roman" w:cs="Times New Roman"/>
                <w:sz w:val="18"/>
                <w:szCs w:val="18"/>
              </w:rPr>
              <w:t xml:space="preserve">Scopus</w:t>
            </w:r>
          </w:p>
        </w:tc>
        <w:tc>
          <w:tcPr>
            <w:tcW w:w="4150" w:type="dxa"/>
          </w:tcPr>
          <w:p>
            <w:pPr>
              <w:spacing w:line="240" w:lineRule="auto" w:after="30"/>
            </w:pPr>
            <w:r>
              <w:rPr>
                <w:rFonts w:ascii="Times New Roman" w:hAnsi="Times New Roman" w:cs="Times New Roman"/>
                <w:sz w:val="18"/>
                <w:szCs w:val="18"/>
              </w:rPr>
              <w:t xml:space="preserve">("internal branding" OR "employer brand*" OR "corporate brand*") AND (control OR "identity regulation" OR "identity work")</w:t>
            </w:r>
          </w:p>
        </w:tc>
        <w:tc>
          <w:tcPr>
            <w:tcW w:w="750" w:type="dxa"/>
          </w:tcPr>
          <w:p>
            <w:pPr>
              <w:spacing w:line="240" w:lineRule="auto" w:after="30"/>
            </w:pPr>
            <w:r>
              <w:rPr>
                <w:rFonts w:ascii="Times New Roman" w:hAnsi="Times New Roman" w:cs="Times New Roman"/>
                <w:sz w:val="18"/>
                <w:szCs w:val="18"/>
              </w:rPr>
              <w:t xml:space="preserve">[FILL]</w:t>
            </w:r>
          </w:p>
        </w:tc>
        <w:tc>
          <w:tcPr>
            <w:tcW w:w="750" w:type="dxa"/>
          </w:tcPr>
          <w:p>
            <w:pPr>
              <w:spacing w:line="240" w:lineRule="auto" w:after="30"/>
            </w:pPr>
            <w:r>
              <w:rPr>
                <w:rFonts w:ascii="Times New Roman" w:hAnsi="Times New Roman" w:cs="Times New Roman"/>
                <w:sz w:val="18"/>
                <w:szCs w:val="18"/>
              </w:rPr>
              <w:t xml:space="preserve">[FILL]</w:t>
            </w:r>
          </w:p>
        </w:tc>
        <w:tc>
          <w:tcPr>
            <w:tcW w:w="1050" w:type="dxa"/>
          </w:tcPr>
          <w:p>
            <w:pPr>
              <w:spacing w:line="240" w:lineRule="auto" w:after="30"/>
            </w:pPr>
            <w:r>
              <w:rPr>
                <w:rFonts w:ascii="Times New Roman" w:hAnsi="Times New Roman" w:cs="Times New Roman"/>
                <w:sz w:val="18"/>
                <w:szCs w:val="18"/>
              </w:rPr>
              <w:t xml:space="preserve">Strand 4</w:t>
            </w:r>
          </w:p>
        </w:tc>
      </w:tr>
      <w:tr>
        <w:tc>
          <w:tcPr>
            <w:tcW w:w="500" w:type="dxa"/>
          </w:tcPr>
          <w:p>
            <w:pPr>
              <w:spacing w:line="240" w:lineRule="auto" w:after="30"/>
            </w:pPr>
            <w:r>
              <w:rPr>
                <w:rFonts w:ascii="Times New Roman" w:hAnsi="Times New Roman" w:cs="Times New Roman"/>
                <w:sz w:val="18"/>
                <w:szCs w:val="18"/>
              </w:rPr>
              <w:t xml:space="preserve">7</w:t>
            </w:r>
          </w:p>
        </w:tc>
        <w:tc>
          <w:tcPr>
            <w:tcW w:w="900" w:type="dxa"/>
          </w:tcPr>
          <w:p>
            <w:pPr>
              <w:spacing w:line="240" w:lineRule="auto" w:after="30"/>
            </w:pPr>
            <w:r>
              <w:rPr>
                <w:rFonts w:ascii="Times New Roman" w:hAnsi="Times New Roman" w:cs="Times New Roman"/>
                <w:sz w:val="18"/>
                <w:szCs w:val="18"/>
              </w:rPr>
              <w:t xml:space="preserve">Scopus</w:t>
            </w:r>
          </w:p>
        </w:tc>
        <w:tc>
          <w:tcPr>
            <w:tcW w:w="4150" w:type="dxa"/>
          </w:tcPr>
          <w:p>
            <w:pPr>
              <w:spacing w:line="240" w:lineRule="auto" w:after="30"/>
            </w:pPr>
            <w:r>
              <w:rPr>
                <w:rFonts w:ascii="Times New Roman" w:hAnsi="Times New Roman" w:cs="Times New Roman"/>
                <w:sz w:val="18"/>
                <w:szCs w:val="18"/>
              </w:rPr>
              <w:t xml:space="preserve">("internal branding" OR "employer brand*" OR "corporate brand*") AND ("normative control" OR "identity regulation" OR "identity work")</w:t>
            </w:r>
          </w:p>
        </w:tc>
        <w:tc>
          <w:tcPr>
            <w:tcW w:w="750" w:type="dxa"/>
          </w:tcPr>
          <w:p>
            <w:pPr>
              <w:spacing w:line="240" w:lineRule="auto" w:after="30"/>
            </w:pPr>
            <w:r>
              <w:rPr>
                <w:rFonts w:ascii="Times New Roman" w:hAnsi="Times New Roman" w:cs="Times New Roman"/>
                <w:sz w:val="18"/>
                <w:szCs w:val="18"/>
              </w:rPr>
              <w:t xml:space="preserve">0</w:t>
            </w:r>
          </w:p>
        </w:tc>
        <w:tc>
          <w:tcPr>
            <w:tcW w:w="750" w:type="dxa"/>
          </w:tcPr>
          <w:p>
            <w:pPr>
              <w:spacing w:line="240" w:lineRule="auto" w:after="30"/>
            </w:pPr>
            <w:r>
              <w:rPr>
                <w:rFonts w:ascii="Times New Roman" w:hAnsi="Times New Roman" w:cs="Times New Roman"/>
                <w:sz w:val="18"/>
                <w:szCs w:val="18"/>
              </w:rPr>
              <w:t xml:space="preserve">0</w:t>
            </w:r>
          </w:p>
        </w:tc>
        <w:tc>
          <w:tcPr>
            <w:tcW w:w="1050" w:type="dxa"/>
          </w:tcPr>
          <w:p>
            <w:pPr>
              <w:spacing w:line="240" w:lineRule="auto" w:after="30"/>
            </w:pPr>
            <w:r>
              <w:rPr>
                <w:rFonts w:ascii="Times New Roman" w:hAnsi="Times New Roman" w:cs="Times New Roman"/>
                <w:sz w:val="18"/>
                <w:szCs w:val="18"/>
              </w:rPr>
              <w:t xml:space="preserve">Strand 4</w:t>
            </w:r>
          </w:p>
        </w:tc>
      </w:tr>
    </w:tbl>
    <w:p>
      <w:pPr>
        <w:spacing w:line="360" w:lineRule="auto"/>
        <w:jc w:val="both"/>
        <w:rPr>
          <w:rFonts w:ascii="Times New Roman" w:hAnsi="Times New Roman" w:cs="Times New Roman"/>
        </w:rPr>
      </w:pPr>
      <w:r>
        <w:rPr>
          <w:i/>
          <w:rFonts w:ascii="Times New Roman" w:hAnsi="Times New Roman" w:cs="Times New Roman"/>
        </w:rPr>
        <w:t xml:space="preserve">Table 1. Search strategy. CMMC and Scopus, peer-reviewed, English, 2000 onwards.</w:t>
      </w:r>
    </w:p>
    <w:p>
      <w:pPr>
        <w:spacing w:line="360" w:lineRule="auto"/>
        <w:jc w:val="both"/>
        <w:rPr>
          <w:rFonts w:ascii="Times New Roman" w:hAnsi="Times New Roman" w:cs="Times New Roman"/>
        </w:rPr>
      </w:pPr>
      <w:r>
        <w:rPr>
          <w:rFonts w:ascii="Times New Roman" w:hAnsi="Times New Roman" w:cs="Times New Roman"/>
        </w:rPr>
        <w:t xml:space="preserve">Two null results are worth reporting rather than hiding. Search 0 shows that the review's guiding question cannot be posed to a database as a single string, because no literature addresses internal and external authenticity claims together under that description. Search 7 returned nothing at all, which indicates that research on authenticity as employee control does not use the vocabulary of communication studies. That literature describes itself as work on normative control, identity regulation and identity work, and it was reached instead through the broader phrasing of search 6 and through backward citation chaining.</w:t>
      </w:r>
    </w:p>
    <w:p>
      <w:pPr>
        <w:spacing w:line="360" w:lineRule="auto"/>
        <w:jc w:val="both"/>
        <w:rPr>
          <w:rFonts w:ascii="Times New Roman" w:hAnsi="Times New Roman" w:cs="Times New Roman"/>
        </w:rPr>
      </w:pPr>
      <w:r>
        <w:rPr>
          <w:rFonts w:ascii="Times New Roman" w:hAnsi="Times New Roman" w:cs="Times New Roman"/>
        </w:rPr>
        <w:t xml:space="preserve">Articles were included where authenticity is treated as a property, a claim or a perception at the organizational or brand level. Articles were excluded where authenticity refers to individual psychological authenticity with no organizational dimension, and where the organization is the setting of the study rather than the object of the authenticity claim. Where a search returned more than fifty results, the first fifty were screened by title and abstract.</w:t>
      </w:r>
    </w:p>
    <w:p>
      <w:pPr>
        <w:spacing w:line="360" w:lineRule="auto"/>
        <w:jc w:val="both"/>
        <w:rPr>
          <w:rFonts w:ascii="Times New Roman" w:hAnsi="Times New Roman" w:cs="Times New Roman"/>
        </w:rPr>
      </w:pPr>
      <w:r>
        <w:rPr>
          <w:rFonts w:ascii="Times New Roman" w:hAnsi="Times New Roman" w:cs="Times New Roman"/>
        </w:rPr>
        <w:t xml:space="preserve">Two limits should be stated. First, the disciplinary split between the two databases is itself a finding: authenticity is discussed in communication journals largely as a matter of external perception, and in management journals largely as a matter of internal control, and the two literatures rarely cite one another. Second, a small number of foundational works were included on the strength of their standing in the field rather than because a search returned them, and are marked as such.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(2025).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