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Can Authenticity Be Strategic?</w:t>
      </w:r>
    </w:p>
    <w:p>
      <w:pPr>
        <w:spacing w:after="180" w:line="360"/>
        <w:jc w:val="center"/>
      </w:pPr>
      <w:r>
        <w:rPr>
          <w:rFonts w:ascii="Times New Roman" w:cs="Times New Roman" w:eastAsia="Times New Roman" w:hAnsi="Times New Roman"/>
          <w:b/>
          <w:bCs/>
          <w:sz w:val="24"/>
          <w:szCs w:val="24"/>
        </w:rPr>
        <w:t xml:space="preserve">A Critical Review of Authenticity Claims Across Internal and External Communication</w:t>
      </w:r>
    </w:p>
    <w:p>
      <w:pPr>
        <w:spacing w:after="0" w:line="360"/>
        <w:jc w:val="center"/>
      </w:pPr>
      <w:r>
        <w:rPr>
          <w:rFonts w:ascii="Times New Roman" w:cs="Times New Roman" w:eastAsia="Times New Roman" w:hAnsi="Times New Roman"/>
          <w:i/>
          <w:iCs/>
          <w:sz w:val="24"/>
          <w:szCs w:val="24"/>
        </w:rPr>
        <w:t xml:space="preserve">Proposal for the literature review assignment (Examination A006)</w:t>
      </w:r>
    </w:p>
    <w:p>
      <w:pPr>
        <w:spacing w:after="0" w:line="360"/>
        <w:jc w:val="center"/>
      </w:pPr>
      <w:r>
        <w:rPr>
          <w:rFonts w:ascii="Times New Roman" w:cs="Times New Roman" w:eastAsia="Times New Roman" w:hAnsi="Times New Roman"/>
          <w:sz w:val="24"/>
          <w:szCs w:val="24"/>
        </w:rPr>
        <w:t xml:space="preserve">Module 1: Strategic Communication - Theory, Practice and Critique</w:t>
      </w:r>
    </w:p>
    <w:p>
      <w:pPr>
        <w:spacing w:after="0" w:line="360"/>
        <w:jc w:val="center"/>
      </w:pPr>
      <w:r>
        <w:rPr>
          <w:rFonts w:ascii="Times New Roman" w:cs="Times New Roman" w:eastAsia="Times New Roman" w:hAnsi="Times New Roman"/>
          <w:sz w:val="24"/>
          <w:szCs w:val="24"/>
        </w:rPr>
        <w:t xml:space="preserve">MA Strategic Communication, Örebro University</w:t>
      </w:r>
    </w:p>
    <w:p>
      <w:pPr>
        <w:spacing w:after="200" w:line="360"/>
        <w:jc w:val="center"/>
      </w:pPr>
      <w:r>
        <w:rPr>
          <w:rFonts w:ascii="Times New Roman" w:cs="Times New Roman" w:eastAsia="Times New Roman" w:hAnsi="Times New Roman"/>
          <w:sz w:val="24"/>
          <w:szCs w:val="24"/>
        </w:rPr>
        <w:t xml:space="preserve">David Ezieshi · 14 September 2026</w:t>
      </w:r>
    </w:p>
    <w:p>
      <w:pPr>
        <w:spacing w:after="0" w:before="120" w:line="360"/>
      </w:pPr>
      <w:r>
        <w:rPr>
          <w:rFonts w:ascii="Times New Roman" w:cs="Times New Roman" w:eastAsia="Times New Roman" w:hAnsi="Times New Roman"/>
          <w:b/>
          <w:bCs/>
          <w:sz w:val="24"/>
          <w:szCs w:val="24"/>
        </w:rPr>
        <w:t xml:space="preserve">Introduction</w:t>
      </w:r>
    </w:p>
    <w:p>
      <w:pPr>
        <w:spacing w:after="0" w:line="360"/>
        <w:jc w:val="both"/>
      </w:pPr>
      <w:r>
        <w:rPr>
          <w:rFonts w:ascii="Times New Roman" w:cs="Times New Roman" w:eastAsia="Times New Roman" w:hAnsi="Times New Roman"/>
          <w:sz w:val="24"/>
          <w:szCs w:val="24"/>
        </w:rPr>
        <w:t xml:space="preserve">Authenticity has become one of the qualities organizations most want to be credited with. Companies describe their brands as honest, public agencies promise transparency, and leaders are urged to bring their whole selves to work, on the assumption that audiences reward it with trust.</w:t>
      </w:r>
    </w:p>
    <w:p>
      <w:pPr>
        <w:spacing w:after="0" w:line="360"/>
        <w:ind w:firstLine="566"/>
        <w:jc w:val="both"/>
      </w:pPr>
      <w:r>
        <w:rPr>
          <w:rFonts w:ascii="Times New Roman" w:cs="Times New Roman" w:eastAsia="Times New Roman" w:hAnsi="Times New Roman"/>
          <w:sz w:val="24"/>
          <w:szCs w:val="24"/>
        </w:rPr>
        <w:t xml:space="preserve">Authenticity nevertheless sits awkwardly with the field that pursues it. Strategic communication is the purposeful use of communication by an organization to achieve its mission (Hallahan et al., 2007); intent is what makes it strategic. Authenticity implies the absence of exactly that. An organization that plans a campaign to be seen as authentic has arguably already forfeited what it pursues.</w:t>
      </w:r>
    </w:p>
    <w:p>
      <w:pPr>
        <w:spacing w:after="0" w:line="360"/>
        <w:ind w:firstLine="566"/>
        <w:jc w:val="both"/>
      </w:pPr>
      <w:r>
        <w:rPr>
          <w:rFonts w:ascii="Times New Roman" w:cs="Times New Roman" w:eastAsia="Times New Roman" w:hAnsi="Times New Roman"/>
          <w:sz w:val="24"/>
          <w:szCs w:val="24"/>
        </w:rPr>
        <w:t xml:space="preserve">That tension becomes concrete where internal and external communication meet. An organization presenting itself externally as honest, human or genuinely committed must have that presentation produced somewhere, and it is produced inside, by employees asked to live the brand (Davis, 2013). The external claim is therefore not only a message about the organization but a demand upon it. And as public agencies, universities and political actors adopt promotional logics, claims to authenticity become claims to credibility in public life.</w:t>
      </w:r>
    </w:p>
    <w:p>
      <w:pPr>
        <w:spacing w:after="0" w:line="360"/>
        <w:ind w:firstLine="566"/>
        <w:jc w:val="both"/>
      </w:pPr>
      <w:r>
        <w:rPr>
          <w:rFonts w:ascii="Times New Roman" w:cs="Times New Roman" w:eastAsia="Times New Roman" w:hAnsi="Times New Roman"/>
          <w:sz w:val="24"/>
          <w:szCs w:val="24"/>
        </w:rPr>
        <w:t xml:space="preserve">Research has approached this ground from several directions without joining them up. Lehman, O’Connor, Kovács and Newman (2019) review the concept in management studies, but communication is not their object. Molleda (2010) reviews it in public relations to propose an index of perceived authenticity, treating it as a property to be measured rather than a relation that can be contested. Li et al. (2024) map twenty-one years of brand authenticity research, but the studies they review concern consumers rather than organizations, and critical work on what authenticity does inside the organization falls outside their scope.</w:t>
      </w:r>
    </w:p>
    <w:p>
      <w:pPr>
        <w:spacing w:after="0" w:line="360"/>
        <w:ind w:firstLine="566"/>
        <w:jc w:val="both"/>
      </w:pPr>
      <w:r>
        <w:rPr>
          <w:rFonts w:ascii="Times New Roman" w:cs="Times New Roman" w:eastAsia="Times New Roman" w:hAnsi="Times New Roman"/>
          <w:sz w:val="24"/>
          <w:szCs w:val="24"/>
        </w:rPr>
        <w:t xml:space="preserve">That work is uncomfortable reading. Fleming and Sturdy (2009), studying a call center where staff were encouraged to “just be yourself”, found that inviting employees to bring their real selves to work turned those selves into a resource for the employer. Müller (2017) found that internal branding is watched not only by managers but by customers and the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and the reviews that do take authenticity as their object ignore that critique. That is the gap this review addresses: what has to happen inside an organization for a claim made outside it to hold.</w:t>
      </w:r>
    </w:p>
    <w:p>
      <w:pPr>
        <w:spacing w:after="0" w:before="120" w:line="360"/>
      </w:pPr>
      <w:r>
        <w:rPr>
          <w:rFonts w:ascii="Times New Roman" w:cs="Times New Roman" w:eastAsia="Times New Roman" w:hAnsi="Times New Roman"/>
          <w:b/>
          <w:bCs/>
          <w:sz w:val="24"/>
          <w:szCs w:val="24"/>
        </w:rPr>
        <w:t xml:space="preserve">Purpose and research questions</w:t>
      </w:r>
    </w:p>
    <w:p>
      <w:pPr>
        <w:spacing w:after="0" w:line="360"/>
        <w:jc w:val="both"/>
      </w:pPr>
      <w:r>
        <w:rPr>
          <w:rFonts w:ascii="Times New Roman" w:cs="Times New Roman" w:eastAsia="Times New Roman" w:hAnsi="Times New Roman"/>
          <w:sz w:val="24"/>
          <w:szCs w:val="24"/>
        </w:rPr>
        <w:t xml:space="preserve">The purpose of this review is to map and critically synthesize how research in strategic communication conceptualizes organizational authenticity, and to examine what happens to authenticity claims as they travel between internal and external communication. Given the ten-page limit, it addresses authenticity at the level of the organization, in public relations, corporate and internal communication, and branding, published from 2005 onwards.</w:t>
      </w:r>
    </w:p>
    <w:p>
      <w:pPr>
        <w:spacing w:after="0" w:line="360"/>
        <w:ind w:firstLine="566"/>
        <w:jc w:val="both"/>
      </w:pPr>
      <w:r>
        <w:rPr>
          <w:rFonts w:ascii="Times New Roman" w:cs="Times New Roman" w:eastAsia="Times New Roman" w:hAnsi="Times New Roman"/>
          <w:sz w:val="24"/>
          <w:szCs w:val="24"/>
        </w:rPr>
        <w:t xml:space="preserve">Three questions guide the review:</w:t>
      </w:r>
    </w:p>
    <w:p>
      <w:pPr>
        <w:spacing w:after="0" w:line="360"/>
        <w:ind w:left="680" w:hanging="340"/>
        <w:jc w:val="left"/>
      </w:pPr>
      <w:r>
        <w:rPr>
          <w:rFonts w:ascii="Times New Roman" w:cs="Times New Roman" w:eastAsia="Times New Roman" w:hAnsi="Times New Roman"/>
          <w:sz w:val="24"/>
          <w:szCs w:val="24"/>
        </w:rPr>
        <w:t xml:space="preserve">1.  What happens when the authenticity an organization communicates externally has to be produced, performed and maintained internally?</w:t>
      </w:r>
    </w:p>
    <w:p>
      <w:pPr>
        <w:spacing w:after="0" w:line="360"/>
        <w:ind w:left="680" w:hanging="340"/>
        <w:jc w:val="left"/>
      </w:pPr>
      <w:r>
        <w:rPr>
          <w:rFonts w:ascii="Times New Roman" w:cs="Times New Roman" w:eastAsia="Times New Roman" w:hAnsi="Times New Roman"/>
          <w:sz w:val="24"/>
          <w:szCs w:val="24"/>
        </w:rPr>
        <w:t xml:space="preserve">2.  Who or what makes an organization authentic: the organization itself, its audiences, the communication that produces the claim, or the managers who put that claim to work?</w:t>
      </w:r>
    </w:p>
    <w:p>
      <w:pPr>
        <w:spacing w:after="0" w:line="360"/>
        <w:ind w:left="680" w:hanging="340"/>
        <w:jc w:val="left"/>
      </w:pPr>
      <w:r>
        <w:rPr>
          <w:rFonts w:ascii="Times New Roman" w:cs="Times New Roman" w:eastAsia="Times New Roman" w:hAnsi="Times New Roman"/>
          <w:sz w:val="24"/>
          <w:szCs w:val="24"/>
        </w:rPr>
        <w:t xml:space="preserve">3.  What does each of those answers say happens when the inside and the outside do not match?</w:t>
      </w:r>
    </w:p>
    <w:p>
      <w:pPr>
        <w:spacing w:after="0" w:line="360"/>
        <w:jc w:val="both"/>
      </w:pPr>
      <w:r>
        <w:rPr>
          <w:rFonts w:ascii="Times New Roman" w:cs="Times New Roman" w:eastAsia="Times New Roman" w:hAnsi="Times New Roman"/>
          <w:sz w:val="24"/>
          <w:szCs w:val="24"/>
        </w:rPr>
        <w:t xml:space="preserve">Those answers disagree with one another, and that disagreement is the review’s result rather than its starting assumption.</w:t>
      </w:r>
    </w:p>
    <w:p>
      <w:pPr>
        <w:spacing w:after="0" w:before="120" w:line="360"/>
      </w:pPr>
      <w:r>
        <w:rPr>
          <w:rFonts w:ascii="Times New Roman" w:cs="Times New Roman" w:eastAsia="Times New Roman" w:hAnsi="Times New Roman"/>
          <w:b/>
          <w:bCs/>
          <w:sz w:val="24"/>
          <w:szCs w:val="24"/>
        </w:rPr>
        <w:t xml:space="preserve">Outline</w:t>
      </w:r>
    </w:p>
    <w:p>
      <w:pPr>
        <w:spacing w:after="0" w:line="360"/>
        <w:jc w:val="both"/>
      </w:pPr>
      <w:r>
        <w:rPr>
          <w:rFonts w:ascii="Times New Roman" w:cs="Times New Roman" w:eastAsia="Times New Roman" w:hAnsi="Times New Roman"/>
          <w:sz w:val="24"/>
          <w:szCs w:val="24"/>
        </w:rPr>
        <w:t xml:space="preserve">The review is structured as follows. The next section describes how the literature was searched and selected, reporting the databases,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says about the relationship between internal and external communication. The first two strands treat the tension as a solvable problem of consistency; in the second two it becomes constitutive, and the internal production of external claims appears as a problem rather than a technique. The conclusion returns to the research questions, compares the findings with the earlier reviews, and identifies openings for further research.</w:t>
      </w:r>
    </w:p>
    <w:p>
      <w:pPr>
        <w:spacing w:after="0" w:before="120" w:line="360"/>
      </w:pPr>
      <w:r>
        <w:rPr>
          <w:rFonts w:ascii="Times New Roman" w:cs="Times New Roman" w:eastAsia="Times New Roman" w:hAnsi="Times New Roman"/>
          <w:b/>
          <w:bCs/>
          <w:sz w:val="24"/>
          <w:szCs w:val="24"/>
        </w:rPr>
        <w:t xml:space="preserve">Preliminary references</w:t>
      </w:r>
    </w:p>
    <w:p>
      <w:pPr>
        <w:spacing w:after="0" w:line="360"/>
        <w:ind w:left="720" w:hanging="720"/>
      </w:pPr>
      <w:r>
        <w:rPr>
          <w:rFonts w:ascii="Times New Roman" w:cs="Times New Roman" w:eastAsia="Times New Roman" w:hAnsi="Times New Roman"/>
          <w:sz w:val="24"/>
          <w:szCs w:val="24"/>
        </w:rPr>
        <w:t xml:space="preserve">Christensen, L. T., &amp; Cornelissen, J. (2011). Bridging corporate and organizational communication: Review, development and a look to the future. </w:t>
      </w:r>
      <w:r>
        <w:rPr>
          <w:rFonts w:ascii="Times New Roman" w:cs="Times New Roman" w:eastAsia="Times New Roman" w:hAnsi="Times New Roman"/>
          <w:i/>
          <w:iCs/>
          <w:sz w:val="24"/>
          <w:szCs w:val="24"/>
        </w:rPr>
        <w:t xml:space="preserve">Management Communication Quarterly, 25</w:t>
      </w:r>
      <w:r>
        <w:rPr>
          <w:rFonts w:ascii="Times New Roman" w:cs="Times New Roman" w:eastAsia="Times New Roman" w:hAnsi="Times New Roman"/>
          <w:sz w:val="24"/>
          <w:szCs w:val="24"/>
        </w:rPr>
        <w:t xml:space="preserve">(3), 383–414.</w:t>
      </w:r>
    </w:p>
    <w:p>
      <w:pPr>
        <w:spacing w:after="0" w:line="360"/>
        <w:ind w:left="720" w:hanging="720"/>
      </w:pPr>
      <w:r>
        <w:rPr>
          <w:rFonts w:ascii="Times New Roman" w:cs="Times New Roman" w:eastAsia="Times New Roman" w:hAnsi="Times New Roman"/>
          <w:sz w:val="24"/>
          <w:szCs w:val="24"/>
        </w:rPr>
        <w:t xml:space="preserve">Lehman, D. W., O’Connor, K., Kovács, B., &amp; Newman, G. E. (2019). Authenticity. </w:t>
      </w:r>
      <w:r>
        <w:rPr>
          <w:rFonts w:ascii="Times New Roman" w:cs="Times New Roman" w:eastAsia="Times New Roman" w:hAnsi="Times New Roman"/>
          <w:i/>
          <w:iCs/>
          <w:sz w:val="24"/>
          <w:szCs w:val="24"/>
        </w:rPr>
        <w:t xml:space="preserve">Academy of Management Annals, 13</w:t>
      </w:r>
      <w:r>
        <w:rPr>
          <w:rFonts w:ascii="Times New Roman" w:cs="Times New Roman" w:eastAsia="Times New Roman" w:hAnsi="Times New Roman"/>
          <w:sz w:val="24"/>
          <w:szCs w:val="24"/>
        </w:rPr>
        <w:t xml:space="preserve">(1), 1–42.</w:t>
      </w:r>
    </w:p>
    <w:p>
      <w:pPr>
        <w:spacing w:after="0" w:line="360"/>
        <w:ind w:left="720" w:hanging="720"/>
      </w:pPr>
      <w:r>
        <w:rPr>
          <w:rFonts w:ascii="Times New Roman" w:cs="Times New Roman" w:eastAsia="Times New Roman" w:hAnsi="Times New Roman"/>
          <w:sz w:val="24"/>
          <w:szCs w:val="24"/>
        </w:rPr>
        <w:t xml:space="preserve">Molleda, J.-C. (2010). Authenticity and the construct’s dimensions in public relations and communication research. </w:t>
      </w:r>
      <w:r>
        <w:rPr>
          <w:rFonts w:ascii="Times New Roman" w:cs="Times New Roman" w:eastAsia="Times New Roman" w:hAnsi="Times New Roman"/>
          <w:i/>
          <w:iCs/>
          <w:sz w:val="24"/>
          <w:szCs w:val="24"/>
        </w:rPr>
        <w:t xml:space="preserve">Journal of Communication Management, 14</w:t>
      </w:r>
      <w:r>
        <w:rPr>
          <w:rFonts w:ascii="Times New Roman" w:cs="Times New Roman" w:eastAsia="Times New Roman" w:hAnsi="Times New Roman"/>
          <w:sz w:val="24"/>
          <w:szCs w:val="24"/>
        </w:rPr>
        <w:t xml:space="preserve">(3), 223–236.</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Authenticity Be Strategic? Proposal</dc:title>
  <dc:creator>David Ezieshi</dc:creator>
  <cp:lastModifiedBy>Un-named</cp:lastModifiedBy>
  <cp:revision>1</cp:revision>
  <dcterms:created xsi:type="dcterms:W3CDTF">2026-09-10T18:24:12.470Z</dcterms:created>
  <dcterms:modified xsi:type="dcterms:W3CDTF">2026-09-10T18:24:12.487Z</dcterms:modified>
</cp:coreProperties>
</file>

<file path=docProps/custom.xml><?xml version="1.0" encoding="utf-8"?>
<Properties xmlns="http://schemas.openxmlformats.org/officeDocument/2006/custom-properties" xmlns:vt="http://schemas.openxmlformats.org/officeDocument/2006/docPropsVTypes"/>
</file>