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rPr>
      </w:pPr>
      <w:r>
        <w:rPr>
          <w:rFonts w:ascii="Times New Roman" w:hAnsi="Times New Roman" w:cs="Times New Roman"/>
        </w:rPr>
        <w:t xml:space="preserve">The results are presented in four parts, according to where each strand of the literature places authenticity. The first three parts are outstanding in this draft. The fourth is presented below.</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i/>
          <w:rFonts w:ascii="Times New Roman" w:hAnsi="Times New Roman" w:cs="Times New Roman"/>
        </w:rPr>
        <w:t xml:space="preserve">[To be written.]</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