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21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pPr>
        <w:spacing w:line="360" w:lineRule="auto"/>
        <w:jc w:val="both"/>
        <w:rPr>
          <w:rFonts w:ascii="Times New Roman" w:hAnsi="Times New Roman" w:cs="Times New Roman"/>
        </w:rPr>
      </w:pPr>
      <w:r>
        <w:rPr>
          <w:rFonts w:ascii="Times New Roman" w:hAnsi="Times New Roman" w:cs="Times New Roman"/>
        </w:rPr>
        <w:t xml:space="preserve">To be strategic is, by definition, to make intentional choices: to decide what to communicate, to whom, through which channels and for what purposes (Gulbrandsen &amp; Just, 2020). Authenticity, however, is commonly associated with qualities such as genuineness, originality and being “real” (Johansen &amp; Gregersen, 2024). These two ideas do not necessarily appear incompatible, but their combination raises two questions: What happens when an organization deliberately and explicitly communicates that it is authentic?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What does the literature say has to happen inside an organization for its external authenticity claims to hold?</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What does the literature say happens when internal practice does not match the external claim?</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1,301 results in total, from which 43 papers were chosen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43 papers were then read more closely and narrowed further. A paper was retained when it made a locatable claim about where authenticity sits, whether in the organization, in its audiences, in the communication itself, or in the relationship between an organization and its employees, and when that claim rested on a stated method or argument. Papers that used the term only in passing, or that repeated a position another study made more strongly, were set aside. This left 19 works: 16 discussed in the results below, and three used in the introduction to establish the state of the field.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rFonts w:ascii="Times New Roman" w:hAnsi="Times New Roman" w:cs="Times New Roman"/>
        </w:rPr>
        <w:t xml:space="preserve">One of the most common ways of approaching organizational authenticity is to treat it as something that can be assessed through the relationship between what an organization says and what it actually does. Authenticity is, from this perspective, a matter of consistency between organizational values, claims, behavior and practices.</w:t>
      </w:r>
    </w:p>
    <w:p>
      <w:pPr>
        <w:spacing w:line="360" w:lineRule="auto"/>
        <w:jc w:val="both"/>
        <w:rPr>
          <w:rFonts w:ascii="Times New Roman" w:hAnsi="Times New Roman" w:cs="Times New Roman"/>
        </w:rPr>
      </w:pPr>
      <w:r>
        <w:rPr>
          <w:rFonts w:ascii="Times New Roman" w:hAnsi="Times New Roman" w:cs="Times New Roman"/>
        </w:rPr>
        <w:t xml:space="preserve">Molleda (2010) provides a clear example of this approach, in a conceptual paper that assembles the construct across advertising, marketing, communication and public relations in order to propose an index rather than to test one. Authenticity is conceptualized as multidimensional, but particular attention is given to the consistency between an organization’s authenticity claims, its offerings and promises, and its management philosophy and behavior. Communicating that an organization is something is therefore not enough: the claim needs to correspond with what the organization actually provides and how it behaves. This places limits on what communication can achieve by itself. An organization may construct a message about who it is, but that message does not exist independently of its actions. Molleda (2010) also brings stakeholders into the process: they interpret the messages and actions and ultimately respond to whether they consider the claim credible. A tension between organizational intention and external judgment is therefore present from the outset.</w:t>
      </w:r>
    </w:p>
    <w:p>
      <w:pPr>
        <w:spacing w:line="360" w:lineRule="auto"/>
        <w:jc w:val="both"/>
        <w:rPr>
          <w:rFonts w:ascii="Times New Roman" w:hAnsi="Times New Roman" w:cs="Times New Roman"/>
        </w:rPr>
      </w:pPr>
      <w:r>
        <w:rPr>
          <w:rFonts w:ascii="Times New Roman" w:hAnsi="Times New Roman" w:cs="Times New Roman"/>
        </w:rPr>
        <w:t xml:space="preserve">Eldor (2026), reporting a randomized field experiment in a large global consulting company, takes the consistency argument further by placing employees at the center of the evaluation, defining organizational authenticity as “the consistency between an organization’s espoused values and its lived practices” (p. 1435). The definition repays attention, because it does not describe a quality. It describes a relation between two things the organization does. And because espoused values are communicated outward while lived practices are enacted inward, the definition is already a statement about the relationship between external communication and internal conduct.</w:t>
      </w:r>
    </w:p>
    <w:p>
      <w:pPr>
        <w:spacing w:line="360" w:lineRule="auto"/>
        <w:jc w:val="both"/>
        <w:rPr>
          <w:rFonts w:ascii="Times New Roman" w:hAnsi="Times New Roman" w:cs="Times New Roman"/>
        </w:rPr>
      </w:pPr>
      <w:r>
        <w:rPr>
          <w:rFonts w:ascii="Times New Roman" w:hAnsi="Times New Roman" w:cs="Times New Roman"/>
        </w:rPr>
        <w:t xml:space="preserve">This is why the employee perspective matters. Employees do not encounter organizational values only through official statements or corporate communication. They encounter them through everyday routines, workplace practices, treatment and the ways in which values are actually enacted. Eldor (2026) argues that employees therefore hold “a more comprehensive and fine-grained perception of whether espoused values and lived practices of the organization are aligned... a perception that is less available to external stakeholders such as clients” (p. 1436). If authenticity is correspondence between an outward claim and inward conduct, the people inside the organization are the better placed judges of it. Yet the same article notes that while “the authenticity literature has paid much attention to external stakeholders (e.g., clients), the notion of organizational authenticity perceptions of an important stakeholder [employees] has been understudied” (p. 1435). The audience best positioned to assess the claim is the one the literature has examined least.</w:t>
      </w:r>
    </w:p>
    <w:p>
      <w:pPr>
        <w:spacing w:line="360" w:lineRule="auto"/>
        <w:jc w:val="both"/>
        <w:rPr>
          <w:rFonts w:ascii="Times New Roman" w:hAnsi="Times New Roman" w:cs="Times New Roman"/>
        </w:rPr>
      </w:pPr>
      <w:r>
        <w:rPr>
          <w:rFonts w:ascii="Times New Roman" w:hAnsi="Times New Roman" w:cs="Times New Roman"/>
        </w:rPr>
        <w:t xml:space="preserve">Lehman et al. (2019) show that consistency is only one basis on which authenticity is claimed. Their review of management research identifies three distinct perspectives: authenticity as “consistency between an entity’s internal values and its external expressions”, as “conformity of an entity to the norms of its social category”, and as “connection between an entity and a person, place, or time as claimed” (p. 1). What separates them is the referent, the “to what?” against which the entity is judged (p. 2). Under consistency the referent is the entity itself; under conformity and connection it lies outside the entity. Defining authenticity as a matter of matching words to actions therefore captures one perspective rather than the field, and what counts as authentic depends partly on what the organization is being compared against.</w:t>
      </w:r>
    </w:p>
    <w:p>
      <w:pPr>
        <w:spacing w:line="360" w:lineRule="auto"/>
        <w:jc w:val="both"/>
        <w:rPr>
          <w:rFonts w:ascii="Times New Roman" w:hAnsi="Times New Roman" w:cs="Times New Roman"/>
        </w:rPr>
      </w:pPr>
      <w:r>
        <w:rPr>
          <w:rFonts w:ascii="Times New Roman" w:hAnsi="Times New Roman" w:cs="Times New Roman"/>
        </w:rPr>
        <w:t xml:space="preserve">Two features of that review bear directly on this one. The consistency perspective rests on what Lehman et al. (2019) trace to Goffman’s theatrical distinction between the “backstage” and the “front stage,” where each version of the perspective “assumes that the backstage represents the ‘true self,’ whereas the front stage may or may not be an accurate portrayal of it” (p. 7). Read at the organizational level, the front stage is what is communicated outward and the backstage is what is done internally, which is the relationship this review examines. The conclusion Lehman et al. (2019) reach, however, moves away from treating authenticity as a property at all. Authenticity is “in the eye of the beholder” (p. 26), an attribution made by observers rather than a quality an entity possesses.</w:t>
      </w:r>
    </w:p>
    <w:p>
      <w:pPr>
        <w:spacing w:line="360" w:lineRule="auto"/>
        <w:jc w:val="both"/>
        <w:rPr>
          <w:rFonts w:ascii="Times New Roman" w:hAnsi="Times New Roman" w:cs="Times New Roman"/>
        </w:rPr>
      </w:pPr>
      <w:r>
        <w:rPr>
          <w:rFonts w:ascii="Times New Roman" w:hAnsi="Times New Roman" w:cs="Times New Roman"/>
        </w:rPr>
        <w:t xml:space="preserve">Johansen and Gregersen (2024) raise a related difficulty from within communication research. Combining a theoretical account with interviews with ten agency strategists, and examining authenticity in relation to organizational-level visual identity, they contrast an essentialist approach, where an organization is assumed to have a relatively stable identity that communication should accurately represent, with more processual, aspirational and audience-oriented approaches. From an essentialist perspective, authenticity is closely connected to alignment: communication is authentic when it accurately reflects the organization’s underlying identity. The processual perspective makes the relationship less straightforward, because organizational identity can itself develop through communication and interaction. Communication does not then simply represent an identity that already exists; it participates in constructing one, which is why Johansen and Gregersen (2024) give employees and external stakeholders a more active role.</w:t>
      </w:r>
    </w:p>
    <w:p>
      <w:pPr>
        <w:spacing w:line="360" w:lineRule="auto"/>
        <w:jc w:val="both"/>
        <w:rPr>
          <w:rFonts w:ascii="Times New Roman" w:hAnsi="Times New Roman" w:cs="Times New Roman"/>
        </w:rPr>
      </w:pPr>
      <w:r>
        <w:rPr>
          <w:rFonts w:ascii="Times New Roman" w:hAnsi="Times New Roman" w:cs="Times New Roman"/>
        </w:rPr>
        <w:t xml:space="preserve">Taken together, these studies suggest that organizational authenticity cannot be reduced to a simple question of whether communication “matches reality.” Consistency matters, particularly in research concerned with organizational values and lived practices, and Molleda (2010) and Eldor (2026) place strong emphasis on alignment between claims, values and behavior. But the literature does not agree that the organization has one fixed and easily identifiable authentic core, and it does not agree that authenticity is the organization’s to possess. The important point for this review is therefore not to decide whether authenticity is ultimately “inside” or “outside” the organization. Claims about organizational authenticity become meaningful through a relationship between organizational values and practices, communication, and the people who encounter and interpret them. Lehman et al. (2019) name those people as the ones who make the attribution, and it is with them that the second strand begins.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carry the measurement project furthest. Across a multi-phase development process they produce a 15-item scale of perceived brand authenticity with four dimensions, and define the construct as “the extent to which consumers perceive a brand to be faithful toward itself (continuity), true to its consumers (credibility), motivated by caring and responsibility (integrity), and able to support consumers in being true to themselves (symbolism)” (p. 203). Perceptions are found to be driven by indexical cues, meaning “evidence-based brand characteristics,” alongside iconic and existential ones (p. 201), with the influence of the latter moderated by how skeptical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repays close reading, because the phrase “the extent to which consumers perceive” governs all four dimensions. Integrity in this scale is not a property of the organization’s conduct but a perception of its motivation. Nothing in the instrument asks what the organization actually does internally. This is not a defect of the scale, which measures what it sets out to measure, but it marks the limit of the strand: a brand can score highly on perceived integrity while its internal practice remains entirely unexamined. Yang, Jiang and Kim (2023) describe this work as operating at the brand rather than the message level, a distinction that separates this strand from the next.</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The paper is a conceptual analysis of the authenticity literature rather than an empirical study.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test.</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more clearly than anyone. They show that the dominant approach to organizational-level visual identity authenticity rests on three interrelated commitments: “that a real organizational identity essence exists; that it can and should be aligned with a corresponding visual identity; and that such visual identity can transmit the essence as part of strategic communication” (p. 405). The third commitment is this strand’s premise. If communication can transmit an organizational essence, then authenticity is something communication delivers. Drawing on interviews with ten agency strategists (p. 405), Johansen and Gregersen argue that the essentialist position should be supplemented by processual alternatives, and identify dynamic, aspirational and consumer-driven approaches alongside it (p. 405). An aspirational visual identity does not transmit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represent the strand’s empirical mainstream, and work on the assumption Johansen and Gregersen question. Surveying consumer responses to real COVID-19 video advertisements, they found that “message authenticity significantly increased consumers’ perception of brand warmth, brand attitude, and engagement intention” (p. 259), through a path in which “authentic ads evoked positively valenced emotional responses” (p. 259). They are explicit that this operates at a different level from the measurement work discussed in the previous section, extending knowledge about authenticity “at the message level” rather than the brand level (p. 273). Authenticity here is a property of a message, and one that can be designed into it.</w:t>
      </w:r>
    </w:p>
    <w:p>
      <w:pPr>
        <w:spacing w:line="360" w:lineRule="auto"/>
        <w:jc w:val="both"/>
        <w:rPr>
          <w:rFonts w:ascii="Times New Roman" w:hAnsi="Times New Roman" w:cs="Times New Roman"/>
        </w:rPr>
      </w:pPr>
      <w:r>
        <w:rPr>
          <w:rFonts w:ascii="Times New Roman" w:hAnsi="Times New Roman" w:cs="Times New Roman"/>
        </w:rPr>
        <w:t xml:space="preserve">Sisson (2017) marks the strand’s limit case, because astroturfing is communicative work whose entire purpose is to produce authenticity where none exists. The study is an exploratory content analysis of news coverage of online astroturfing. Citing Berkman, Sisson describes astroturfing as inauthentic grassroots communication that disseminates a “predetermined message … in a manner that makes each message appear authentic and original” (p. 788). The construction repays attention. The message is predetermined and centrally produced; the appearance of spontaneous, original, grassroots authenticity is the deliverable. Sisson’s own findings are narrower than this framing, reporting that “positivity and networking strategies have significant associations with dimensions of trust” (p. 788) in the news coverage analyzed. The conceptual contribution is the stronger one.</w:t>
      </w:r>
    </w:p>
    <w:p>
      <w:pPr>
        <w:spacing w:line="360" w:lineRule="auto"/>
        <w:jc w:val="both"/>
        <w:rPr>
          <w:rFonts w:ascii="Times New Roman" w:hAnsi="Times New Roman" w:cs="Times New Roman"/>
        </w:rPr>
      </w:pPr>
      <w:r>
        <w:rPr>
          <w:rFonts w:ascii="Times New Roman" w:hAnsi="Times New Roman" w:cs="Times New Roman"/>
        </w:rPr>
        <w:t xml:space="preserve">Placed in sequence, these three studies produce an uncomfortable result for the strand. If authenticity is a designable property of a message, as Yang and colleagues show, and if it can be manufactured wholesale by communication with nothing behind it, as astroturfing demonstrates, then communication alone cannot distinguish authentic messages from well-made appearances of authenticity. What separates the two is not a feature of the message. It is whether anything corresponds to it.</w:t>
      </w:r>
    </w:p>
    <w:p>
      <w:pPr>
        <w:spacing w:line="360" w:lineRule="auto"/>
        <w:jc w:val="both"/>
        <w:rPr>
          <w:rFonts w:ascii="Times New Roman" w:hAnsi="Times New Roman" w:cs="Times New Roman"/>
        </w:rPr>
      </w:pPr>
      <w:r>
        <w:rPr>
          <w:rFonts w:ascii="Times New Roman" w:hAnsi="Times New Roman" w:cs="Times New Roman"/>
        </w:rPr>
        <w:t xml:space="preserve">This is precisely where Johansen and Gregersen’s third commitment fails. Communication cannot transmit an essence to which it has no access, and no analysis conducted at the level of the message can establish whether that essence is there. The strand asks what communication produces and answers that it produces perception, which returns the question to where the second strand left it. What none of this work examines is what would have to be true inside an organization for its communication to be transmitting rather than manufacturing. The fourth strand turns to that.</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in a review article rather than an empirical study.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surveying full-time employees of large United States corporations,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Drawing on thirty-one in-depth interviews with employees of one large United States technology company, they find employees skeptical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Hansen, H., Jensen, A., &amp; Maagaard, C. (2022). The brand manager as practical author: An empirical study of the co-creation of a CSR-based brand. Journal of Brand Management, 29(6), 584–597. https://doi.org/10.1057/s41262-022-00284-8</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Wilcox, A., &amp; Rajasekar, N. (2026). The inauthenticity of organizational diversity initiatives: Perspectives from the tech industry. The Sociological Quarterly, 67(3), 534–558. https://doi.org/10.1080/00380253.2026.2644528</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