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rPr>
      </w:pPr>
      <w:r>
        <w:rPr>
          <w:rFonts w:ascii="Times New Roman" w:hAnsi="Times New Roman" w:cs="Times New Roman"/>
        </w:rPr>
        <w:t xml:space="preserve">The results are presented in four parts, according to where each strand of the literature places authenticity. The first three parts are outstanding in this draft. The fourth is presented below.</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research asks a different question: what does an authenticity claim require of the people who have to sustain it? This section reads that literature for what it says about the internal cost of an external claim.</w:t>
      </w:r>
    </w:p>
    <w:p>
      <w:pPr>
        <w:spacing w:line="360" w:lineRule="auto"/>
        <w:jc w:val="both"/>
        <w:rPr>
          <w:rFonts w:ascii="Times New Roman" w:hAnsi="Times New Roman" w:cs="Times New Roman"/>
        </w:rPr>
      </w:pPr>
      <w:r>
        <w:rPr>
          <w:rFonts w:ascii="Times New Roman" w:hAnsi="Times New Roman" w:cs="Times New Roman"/>
        </w:rPr>
        <w:t xml:space="preserve">The starting point is that a claim made outside an organization has to be held up inside it. Wæraas and Dahle (2020) studied 25 medium and large Norwegian organizations and found that the pursuit of a desired reputation was organized around a single official corporate voice, maintained by discouraging what they term prohibitive employee voice through technocratic control and coercive HRM practices. The external claim, on this account, was produced by restricting what employees were able to say. Dahle and Wæraas (2020) describe the same tension in the public sector, where managers must at once empower employees to act as brand ambassadors and regulate the voice those employees use.</w:t>
      </w:r>
    </w:p>
    <w:p>
      <w:pPr>
        <w:spacing w:line="360" w:lineRule="auto"/>
        <w:jc w:val="both"/>
        <w:rPr>
          <w:rFonts w:ascii="Times New Roman" w:hAnsi="Times New Roman" w:cs="Times New Roman"/>
        </w:rPr>
      </w:pPr>
      <w:r>
        <w:rPr>
          <w:rFonts w:ascii="Times New Roman" w:hAnsi="Times New Roman" w:cs="Times New Roman"/>
        </w:rPr>
        <w:t xml:space="preserve">This is the mechanism Christensen and Cornelissen (2011) warn about at the level of theory. Writing against what they call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Their alternative is polyphony, which they hold to be “an essential dimension of all organizing” (p. 402). The empirical studies above show what the pursuit of a single voice costs in practice.</w:t>
      </w:r>
    </w:p>
    <w:p>
      <w:pPr>
        <w:spacing w:line="360" w:lineRule="auto"/>
        <w:jc w:val="both"/>
        <w:rPr>
          <w:rFonts w:ascii="Times New Roman" w:hAnsi="Times New Roman" w:cs="Times New Roman"/>
        </w:rPr>
      </w:pPr>
      <w:r>
        <w:rPr>
          <w:rFonts w:ascii="Times New Roman" w:hAnsi="Times New Roman" w:cs="Times New Roman"/>
        </w:rPr>
        <w:t xml:space="preserve">Wegerer (2018) carries this from voice to identity. Examining the effects of an ethical brand on employees’ identity work, he finds that respondents adopt the discourse of the brand in constructing their own sense of themselves at work. The brand is then not only something employees represent outwardly; it becomes a resource through which they understand who they are.</w:t>
      </w:r>
    </w:p>
    <w:p>
      <w:pPr>
        <w:spacing w:line="360" w:lineRule="auto"/>
        <w:jc w:val="both"/>
        <w:rPr>
          <w:rFonts w:ascii="Times New Roman" w:hAnsi="Times New Roman" w:cs="Times New Roman"/>
        </w:rPr>
      </w:pPr>
      <w:r>
        <w:rPr>
          <w:rFonts w:ascii="Times New Roman" w:hAnsi="Times New Roman" w:cs="Times New Roman"/>
        </w:rPr>
        <w:t xml:space="preserve">Two further studies name this dynamic directly. Müller (2017) theorizes internal branding as a form of normative control, and Fleming and Sturdy (2011) describe workplaces in which the instruction to be oneself operates as a tighter form of regulation than older and more explicit forms.</w:t>
      </w:r>
    </w:p>
    <w:p>
      <w:pPr>
        <w:spacing w:line="360" w:lineRule="auto"/>
        <w:jc w:val="both"/>
        <w:rPr>
          <w:rFonts w:ascii="Times New Roman" w:hAnsi="Times New Roman" w:cs="Times New Roman"/>
        </w:rPr>
      </w:pPr>
      <w:r>
        <w:rPr>
          <w:rFonts w:ascii="Times New Roman" w:hAnsi="Times New Roman" w:cs="Times New Roman"/>
        </w:rPr>
        <w:t xml:space="preserve">What makes this strand uncomfortable for strategic communication is that it reverses the usual direction of concern. In the first three strands, the risk attached to an authenticity claim is that audiences will not believe it. Here the risk runs the other way: the claim may be believed, and held up, at a cost carried by employees. Lee et al. (2024) offer a partial counterweight. Studying corporate social advocacy from an internal perspective, they find that employees’ perceptions of organizational justice shape whether they judge their organization’s external advocacy authentic, and that perceived authenticity in turn increases supportive behavior. On their account the internal condition is not silence but fairness.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regulation: of voice, and in Wegerer’s account of identity as well.</w:t>
      </w:r>
    </w:p>
    <w:p>
      <w:pPr>
        <w:spacing w:line="360" w:lineRule="auto"/>
        <w:jc w:val="both"/>
        <w:rPr>
          <w:rFonts w:ascii="Times New Roman" w:hAnsi="Times New Roman" w:cs="Times New Roman"/>
        </w:rPr>
      </w:pPr>
      <w:r>
        <w:rPr>
          <w:i/>
          <w:rFonts w:ascii="Times New Roman" w:hAnsi="Times New Roman" w:cs="Times New Roman"/>
        </w:rPr>
        <w:t xml:space="preserve">[VERIFY BEFORE FINAL SUBMISSION: Müller (2017) and Fleming and Sturdy (2011) are characterized here at the level their titles and journals support. Read both in full before attributing specific findings. Wegerer (2018) is drawn from the abstract; confirm how far he takes the identity claim.]</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(2025).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