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Vendor Security Assessment: CloudVault</w:t>
      </w:r>
    </w:p>
    <w:p>
      <w:pPr>
        <w:pStyle w:val="Heading1"/>
      </w:pPr>
      <w:r>
        <w:t xml:space="preserve">Prepared by the Information Security team</w:t>
      </w:r>
    </w:p>
    <w:p>
      <w:r>
        <w:t xml:space="preserve">Author: Miguel Torres, Security Architect</w:t>
      </w:r>
    </w:p>
    <w:p>
      <w:r>
        <w:t xml:space="preserve">Date: 2025-02-18</w:t>
      </w:r>
    </w:p>
    <w:p>
      <w:pPr>
        <w:pStyle w:val="Heading2"/>
      </w:pPr>
      <w:r>
        <w:t xml:space="preserve">Scope</w:t>
      </w:r>
    </w:p>
    <w:p>
      <w:r>
        <w:t xml:space="preserve">CloudVault was assessed as a candidate document storage provider. The review covered encryption at rest and in transit, access control, tenant isolation, and incident history.</w:t>
      </w:r>
    </w:p>
    <w:p>
      <w:pPr>
        <w:pStyle w:val="Heading2"/>
      </w:pPr>
      <w:r>
        <w:t xml:space="preserve">Findings</w:t>
      </w:r>
    </w:p>
    <w:p>
      <w:r>
        <w:t xml:space="preserve">Encryption meets requirements: AES-256 at rest, TLS 1.3 in transit. Access control supports SAML and SCIM provisioning. Tenant isolation is logical rather than physical, which is acceptable for our data classification but should be re-reviewed if we store regulated records.</w:t>
      </w:r>
    </w:p>
    <w:p>
      <w:r>
        <w:t xml:space="preserve">One concern: the provider retains deleted objects for 30 days with no customer-facing purge. This conflicts with our retention policy and needs a contractual amendment.</w:t>
      </w:r>
    </w:p>
    <w:p>
      <w:pPr>
        <w:pStyle w:val="Heading2"/>
      </w:pPr>
      <w:r>
        <w:t xml:space="preserve">Recommendation</w:t>
      </w:r>
    </w:p>
    <w:p>
      <w:r>
        <w:t xml:space="preserve">Approve for general business documents, subject to the retention amendment. Do not store regulated or personal data until tenant isolation is revisited.</w:t>
      </w:r>
    </w:p>
  </w:body>
</w:document>
</file>