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CF28B" w14:textId="5F513010" w:rsidR="00D862E6" w:rsidRPr="00A90D1E" w:rsidRDefault="00D862E6" w:rsidP="00D862E6">
      <w:pPr>
        <w:jc w:val="center"/>
        <w:rPr>
          <w:rFonts w:cs="Arial"/>
          <w:b/>
          <w:sz w:val="36"/>
          <w:szCs w:val="44"/>
        </w:rPr>
      </w:pPr>
      <w:r w:rsidRPr="00A90D1E">
        <w:rPr>
          <w:rFonts w:cs="Arial"/>
          <w:b/>
          <w:sz w:val="36"/>
          <w:szCs w:val="44"/>
        </w:rPr>
        <w:t>Accenture Operations Twin</w:t>
      </w:r>
    </w:p>
    <w:p w14:paraId="393D6622" w14:textId="3C78629A" w:rsidR="00D862E6" w:rsidRPr="00D862E6" w:rsidRDefault="00D862E6" w:rsidP="00D862E6">
      <w:pPr>
        <w:jc w:val="center"/>
        <w:rPr>
          <w:rFonts w:cs="Arial"/>
          <w:b/>
          <w:bCs/>
          <w:sz w:val="72"/>
          <w:szCs w:val="144"/>
        </w:rPr>
      </w:pPr>
      <w:r w:rsidRPr="00D862E6">
        <w:rPr>
          <w:rFonts w:cs="Arial"/>
          <w:b/>
          <w:bCs/>
          <w:sz w:val="72"/>
          <w:szCs w:val="144"/>
        </w:rPr>
        <w:t>AOT</w:t>
      </w:r>
    </w:p>
    <w:p w14:paraId="79A94DBD" w14:textId="376899DF" w:rsidR="00D862E6" w:rsidRDefault="00D862E6" w:rsidP="00D862E6">
      <w:pPr>
        <w:jc w:val="center"/>
        <w:rPr>
          <w:rFonts w:cs="Arial"/>
          <w:b/>
          <w:sz w:val="36"/>
          <w:szCs w:val="44"/>
        </w:rPr>
      </w:pPr>
      <w:r w:rsidRPr="00A90D1E">
        <w:rPr>
          <w:rFonts w:cs="Arial"/>
          <w:b/>
          <w:sz w:val="36"/>
          <w:szCs w:val="44"/>
        </w:rPr>
        <w:t>RELEASE NOTES INDEX</w:t>
      </w:r>
    </w:p>
    <w:p w14:paraId="0C85E36A" w14:textId="1D87FF51" w:rsidR="00AD38DF" w:rsidRDefault="00C32EE2" w:rsidP="00C21A4F">
      <w:pPr>
        <w:sectPr w:rsidR="00AD38DF" w:rsidSect="00D066EA">
          <w:headerReference w:type="even" r:id="rId12"/>
          <w:headerReference w:type="default" r:id="rId13"/>
          <w:footerReference w:type="even" r:id="rId14"/>
          <w:footerReference w:type="default" r:id="rId15"/>
          <w:headerReference w:type="first" r:id="rId16"/>
          <w:footerReference w:type="first" r:id="rId17"/>
          <w:pgSz w:w="12240" w:h="12960" w:code="1"/>
          <w:pgMar w:top="5760" w:right="1440" w:bottom="1440" w:left="1440" w:header="720" w:footer="720" w:gutter="0"/>
          <w:cols w:space="720"/>
          <w:docGrid w:linePitch="360"/>
        </w:sectPr>
      </w:pPr>
      <w:r w:rsidRPr="0097003D">
        <w:rPr>
          <w:noProof/>
        </w:rPr>
        <w:drawing>
          <wp:anchor distT="0" distB="0" distL="114300" distR="114300" simplePos="0" relativeHeight="251658240" behindDoc="0" locked="0" layoutInCell="1" allowOverlap="0" wp14:anchorId="33FADA77" wp14:editId="4600A08A">
            <wp:simplePos x="0" y="0"/>
            <wp:positionH relativeFrom="margin">
              <wp:align>right</wp:align>
            </wp:positionH>
            <wp:positionV relativeFrom="margin">
              <wp:align>bottom</wp:align>
            </wp:positionV>
            <wp:extent cx="591185" cy="614680"/>
            <wp:effectExtent l="0" t="0" r="0" b="0"/>
            <wp:wrapSquare wrapText="bothSides"/>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185" cy="614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21335" w14:textId="77777777" w:rsidR="00DE2E12" w:rsidRPr="008E6CF7" w:rsidRDefault="008E6CF7" w:rsidP="00D67ADD">
      <w:pPr>
        <w:pStyle w:val="Heading1"/>
      </w:pPr>
      <w:r w:rsidRPr="008E6CF7">
        <w:lastRenderedPageBreak/>
        <w:t>Introduction</w:t>
      </w:r>
    </w:p>
    <w:p w14:paraId="7D2366D7" w14:textId="77777777" w:rsidR="00167181" w:rsidRPr="00167181" w:rsidRDefault="00167181" w:rsidP="00167181">
      <w:pPr>
        <w:spacing w:after="160" w:line="256" w:lineRule="auto"/>
        <w:jc w:val="both"/>
        <w:rPr>
          <w:rFonts w:eastAsia="Graphik" w:cs="Graphik"/>
          <w:color w:val="000000" w:themeColor="text1"/>
          <w:kern w:val="2"/>
          <w:szCs w:val="20"/>
          <w14:ligatures w14:val="standardContextual"/>
        </w:rPr>
      </w:pPr>
      <w:bookmarkStart w:id="1" w:name="_Toc111711940"/>
      <w:bookmarkStart w:id="2" w:name="_Toc111711939"/>
      <w:bookmarkStart w:id="3" w:name="_Toc142366577"/>
      <w:bookmarkStart w:id="4" w:name="OLE_LINK11"/>
      <w:r w:rsidRPr="00167181">
        <w:rPr>
          <w:rFonts w:eastAsia="Graphik" w:cs="Graphik"/>
          <w:i/>
          <w:iCs/>
          <w:color w:val="000000" w:themeColor="text1"/>
          <w:kern w:val="2"/>
          <w:szCs w:val="20"/>
          <w14:ligatures w14:val="standardContextual"/>
        </w:rPr>
        <w:t>Accenture Operations Twin</w:t>
      </w:r>
      <w:r w:rsidRPr="00167181">
        <w:rPr>
          <w:rFonts w:eastAsia="Graphik" w:cs="Graphik"/>
          <w:color w:val="000000" w:themeColor="text1"/>
          <w:kern w:val="2"/>
          <w:szCs w:val="20"/>
          <w14:ligatures w14:val="standardContextual"/>
        </w:rPr>
        <w:t xml:space="preserve"> (AOT) is a set of software accelerators for the rapid implementation of customized factory-to-cloud applications. These operations twin apps accelerate the integration of product, process, and live data from disparate IT and OT systems, creating a comprehensive and contextualized view of operations to enable better decisions and optimized processes.</w:t>
      </w:r>
    </w:p>
    <w:p w14:paraId="522D543E" w14:textId="77777777"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Starting with version 2.5, AOT is now included in the Industrial AI (IAI) initiative— a multi- disciplinary approach combining Industry knowledge, Operational Technology and Advanced AI underpinned by cutting-edge AI Offerings, specifically tailored to client requirements across industries and domains.</w:t>
      </w:r>
    </w:p>
    <w:p w14:paraId="3005BE65" w14:textId="77777777"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As part of this initiative, we have launched Industrial AI Foundations, a set of flexible data services designed to support the fast rollout of Industrial AI solutions.</w:t>
      </w:r>
    </w:p>
    <w:p w14:paraId="6765E36F" w14:textId="77777777" w:rsidR="00167181" w:rsidRPr="00167181" w:rsidRDefault="00167181" w:rsidP="00167181">
      <w:pPr>
        <w:spacing w:after="160" w:line="256" w:lineRule="auto"/>
        <w:jc w:val="both"/>
        <w:rPr>
          <w:rFonts w:eastAsia="Calibri" w:cs="Arial"/>
          <w:kern w:val="2"/>
          <w:szCs w:val="22"/>
          <w14:ligatures w14:val="standardContextual"/>
        </w:rPr>
      </w:pPr>
      <w:r w:rsidRPr="00167181">
        <w:rPr>
          <w:rFonts w:eastAsia="Calibri" w:cs="Arial"/>
          <w:kern w:val="2"/>
          <w:szCs w:val="22"/>
          <w14:ligatures w14:val="standardContextual"/>
        </w:rPr>
        <w:t>AOT and Plant Control Tower will continue to evolve within the Industrial AI Foundation portfolio, and future releases will be provided under the Industrial AI initiative.</w:t>
      </w:r>
    </w:p>
    <w:p w14:paraId="48F4EF8B" w14:textId="77777777" w:rsidR="0058369B" w:rsidRPr="00B2713B" w:rsidRDefault="0058369B" w:rsidP="00400B4E">
      <w:pPr>
        <w:pStyle w:val="Heading2"/>
        <w:ind w:right="2880"/>
        <w:jc w:val="both"/>
      </w:pPr>
      <w:r>
        <w:t>Purpose</w:t>
      </w:r>
      <w:bookmarkEnd w:id="1"/>
    </w:p>
    <w:p w14:paraId="65FD7A1E" w14:textId="7F19BF47" w:rsidR="0058369B" w:rsidRPr="001942A9" w:rsidRDefault="0058369B" w:rsidP="001942A9">
      <w:r w:rsidRPr="001942A9">
        <w:t>This document serves as an index of release notes documents. The releases are sorted by date with the most recent release at the top of the table.</w:t>
      </w:r>
      <w:r w:rsidR="005E0F5D" w:rsidRPr="001942A9">
        <w:t xml:space="preserve"> Clicking the release number link opens the release notes document for that release.</w:t>
      </w:r>
    </w:p>
    <w:p w14:paraId="4842B36E" w14:textId="77777777" w:rsidR="0058369B" w:rsidRPr="005F4D34" w:rsidRDefault="0058369B" w:rsidP="0058369B">
      <w:pPr>
        <w:pStyle w:val="Heading2"/>
        <w:rPr>
          <w:lang w:val="en-GB"/>
        </w:rPr>
      </w:pPr>
      <w:r>
        <w:rPr>
          <w:lang w:val="en-GB"/>
        </w:rPr>
        <w:t>Target Audience</w:t>
      </w:r>
      <w:bookmarkEnd w:id="2"/>
    </w:p>
    <w:p w14:paraId="41EA5755" w14:textId="37860D12" w:rsidR="0058369B" w:rsidRPr="005F4D34" w:rsidRDefault="0058369B" w:rsidP="001942A9">
      <w:pPr>
        <w:numPr>
          <w:ilvl w:val="0"/>
          <w:numId w:val="21"/>
        </w:numPr>
        <w:spacing w:before="120" w:after="120"/>
      </w:pPr>
      <w:r w:rsidRPr="005F4D34">
        <w:t xml:space="preserve">Client Delivery Teams </w:t>
      </w:r>
      <w:r w:rsidR="000B6CA1">
        <w:t>L</w:t>
      </w:r>
      <w:r w:rsidRPr="005F4D34">
        <w:t>everaging AOT</w:t>
      </w:r>
    </w:p>
    <w:p w14:paraId="56251F96" w14:textId="77777777" w:rsidR="0058369B" w:rsidRPr="005F4D34" w:rsidRDefault="0058369B" w:rsidP="001942A9">
      <w:pPr>
        <w:numPr>
          <w:ilvl w:val="0"/>
          <w:numId w:val="21"/>
        </w:numPr>
        <w:spacing w:before="120" w:after="120"/>
      </w:pPr>
      <w:r w:rsidRPr="005F4D34">
        <w:t>Asset Delivery Teams</w:t>
      </w:r>
    </w:p>
    <w:p w14:paraId="693990CF" w14:textId="77777777" w:rsidR="0058369B" w:rsidRPr="005F4D34" w:rsidRDefault="0058369B" w:rsidP="001942A9">
      <w:pPr>
        <w:numPr>
          <w:ilvl w:val="0"/>
          <w:numId w:val="21"/>
        </w:numPr>
        <w:spacing w:before="120" w:after="120"/>
      </w:pPr>
      <w:r w:rsidRPr="005F4D34">
        <w:t>Stakeholders, Solution Architects, Technical Architects</w:t>
      </w:r>
    </w:p>
    <w:p w14:paraId="607554CD" w14:textId="77777777" w:rsidR="0058369B" w:rsidRPr="00E03C4A" w:rsidRDefault="0058369B" w:rsidP="0058369B">
      <w:pPr>
        <w:pStyle w:val="Heading2"/>
      </w:pPr>
      <w:bookmarkStart w:id="5" w:name="_Toc111711943"/>
      <w:r>
        <w:t>Contact</w:t>
      </w:r>
      <w:bookmarkEnd w:id="5"/>
      <w:r>
        <w:t>s</w:t>
      </w:r>
    </w:p>
    <w:p w14:paraId="10432321" w14:textId="77777777" w:rsidR="0058369B" w:rsidRPr="005F4D34" w:rsidRDefault="0058369B" w:rsidP="001942A9">
      <w:pPr>
        <w:numPr>
          <w:ilvl w:val="0"/>
          <w:numId w:val="20"/>
        </w:numPr>
        <w:spacing w:before="120" w:after="120"/>
      </w:pPr>
      <w:hyperlink r:id="rId19" w:history="1">
        <w:r w:rsidRPr="005F4D34">
          <w:rPr>
            <w:rStyle w:val="Hyperlink"/>
          </w:rPr>
          <w:t>florian.tournier@accenture.com</w:t>
        </w:r>
      </w:hyperlink>
    </w:p>
    <w:p w14:paraId="7AA7569E" w14:textId="77777777" w:rsidR="0058369B" w:rsidRPr="005F4D34" w:rsidRDefault="0058369B" w:rsidP="001942A9">
      <w:pPr>
        <w:numPr>
          <w:ilvl w:val="0"/>
          <w:numId w:val="20"/>
        </w:numPr>
        <w:spacing w:before="120" w:after="120"/>
      </w:pPr>
      <w:hyperlink r:id="rId20" w:history="1">
        <w:r w:rsidRPr="005F4D34">
          <w:rPr>
            <w:rStyle w:val="Hyperlink"/>
          </w:rPr>
          <w:t>susarla.aditya@accenture.com</w:t>
        </w:r>
      </w:hyperlink>
    </w:p>
    <w:p w14:paraId="00B2DCFE" w14:textId="77777777" w:rsidR="0058369B" w:rsidRPr="001B3614" w:rsidRDefault="0058369B" w:rsidP="001942A9">
      <w:pPr>
        <w:numPr>
          <w:ilvl w:val="0"/>
          <w:numId w:val="20"/>
        </w:numPr>
        <w:spacing w:before="120" w:after="120"/>
        <w:rPr>
          <w:rStyle w:val="Hyperlink"/>
          <w:rFonts w:cstheme="minorBidi"/>
          <w:color w:val="auto"/>
          <w:u w:val="none"/>
        </w:rPr>
      </w:pPr>
      <w:hyperlink r:id="rId21" w:history="1">
        <w:r w:rsidRPr="005F4D34">
          <w:rPr>
            <w:rStyle w:val="Hyperlink"/>
          </w:rPr>
          <w:t>ankur.manchanda@accenture.com</w:t>
        </w:r>
      </w:hyperlink>
    </w:p>
    <w:p w14:paraId="3900C4C7" w14:textId="77777777" w:rsidR="0058369B" w:rsidRDefault="0058369B" w:rsidP="00585895">
      <w:pPr>
        <w:jc w:val="both"/>
      </w:pPr>
    </w:p>
    <w:p w14:paraId="644B8556" w14:textId="77777777" w:rsidR="009410CB" w:rsidRDefault="009410CB" w:rsidP="00D67ADD">
      <w:pPr>
        <w:pStyle w:val="Heading1"/>
        <w:sectPr w:rsidR="009410CB" w:rsidSect="00D066EA">
          <w:pgSz w:w="12240" w:h="12960" w:code="1"/>
          <w:pgMar w:top="1440" w:right="1440" w:bottom="1440" w:left="1440" w:header="720" w:footer="720" w:gutter="0"/>
          <w:cols w:space="720"/>
          <w:docGrid w:linePitch="360"/>
        </w:sectPr>
      </w:pPr>
    </w:p>
    <w:p w14:paraId="4BEABB89" w14:textId="4C0D0849" w:rsidR="00585895" w:rsidRDefault="005A3D09" w:rsidP="00D67ADD">
      <w:pPr>
        <w:pStyle w:val="Heading1"/>
      </w:pPr>
      <w:r>
        <w:lastRenderedPageBreak/>
        <w:t>Release Notes Index</w:t>
      </w:r>
    </w:p>
    <w:tbl>
      <w:tblPr>
        <w:tblStyle w:val="TableGridLight"/>
        <w:tblW w:w="0" w:type="auto"/>
        <w:tblLook w:val="04A0" w:firstRow="1" w:lastRow="0" w:firstColumn="1" w:lastColumn="0" w:noHBand="0" w:noVBand="1"/>
      </w:tblPr>
      <w:tblGrid>
        <w:gridCol w:w="955"/>
        <w:gridCol w:w="8395"/>
      </w:tblGrid>
      <w:tr w:rsidR="008E6CF7" w:rsidRPr="00313499" w14:paraId="33BA7A05" w14:textId="77777777" w:rsidTr="00F72231">
        <w:trPr>
          <w:trHeight w:val="225"/>
          <w:tblHeader/>
        </w:trPr>
        <w:tc>
          <w:tcPr>
            <w:tcW w:w="715" w:type="dxa"/>
            <w:shd w:val="clear" w:color="auto" w:fill="7030A0"/>
          </w:tcPr>
          <w:p w14:paraId="072959C1" w14:textId="77777777" w:rsidR="008E6CF7" w:rsidRPr="00F72231" w:rsidRDefault="004876E8" w:rsidP="00D67ADD">
            <w:pPr>
              <w:spacing w:before="60" w:after="60" w:line="360" w:lineRule="auto"/>
              <w:jc w:val="center"/>
              <w:rPr>
                <w:color w:val="FFFFFF" w:themeColor="background1"/>
                <w:szCs w:val="22"/>
              </w:rPr>
            </w:pPr>
            <w:r w:rsidRPr="00F72231">
              <w:rPr>
                <w:color w:val="FFFFFF" w:themeColor="background1"/>
                <w:szCs w:val="22"/>
              </w:rPr>
              <w:t>Release</w:t>
            </w:r>
          </w:p>
        </w:tc>
        <w:tc>
          <w:tcPr>
            <w:tcW w:w="8635" w:type="dxa"/>
            <w:shd w:val="clear" w:color="auto" w:fill="7030A0"/>
          </w:tcPr>
          <w:p w14:paraId="5864F291" w14:textId="77777777" w:rsidR="008E6CF7" w:rsidRPr="00F72231" w:rsidRDefault="004876E8" w:rsidP="0095708E">
            <w:pPr>
              <w:spacing w:before="60" w:after="60" w:line="360" w:lineRule="auto"/>
              <w:ind w:left="144"/>
              <w:rPr>
                <w:color w:val="FFFFFF" w:themeColor="background1"/>
                <w:szCs w:val="22"/>
              </w:rPr>
            </w:pPr>
            <w:r w:rsidRPr="00F72231">
              <w:rPr>
                <w:color w:val="FFFFFF" w:themeColor="background1"/>
                <w:szCs w:val="22"/>
              </w:rPr>
              <w:t>Notable Changes</w:t>
            </w:r>
          </w:p>
        </w:tc>
      </w:tr>
      <w:tr w:rsidR="00974F0D" w14:paraId="42CF37ED" w14:textId="77777777" w:rsidTr="00F72231">
        <w:trPr>
          <w:trHeight w:val="805"/>
        </w:trPr>
        <w:tc>
          <w:tcPr>
            <w:tcW w:w="715" w:type="dxa"/>
          </w:tcPr>
          <w:p w14:paraId="51350F23" w14:textId="77B6F82B" w:rsidR="00974F0D" w:rsidRDefault="009B6B82" w:rsidP="00D67ADD">
            <w:pPr>
              <w:spacing w:before="120" w:after="60"/>
              <w:jc w:val="center"/>
            </w:pPr>
            <w:hyperlink r:id="rId22" w:history="1">
              <w:r w:rsidR="00501234" w:rsidRPr="009B6B82">
                <w:rPr>
                  <w:rStyle w:val="Hyperlink"/>
                  <w:rFonts w:cstheme="minorBidi"/>
                </w:rPr>
                <w:t>2.5</w:t>
              </w:r>
            </w:hyperlink>
          </w:p>
        </w:tc>
        <w:tc>
          <w:tcPr>
            <w:tcW w:w="8635" w:type="dxa"/>
          </w:tcPr>
          <w:p w14:paraId="7B929E48" w14:textId="79FABE33" w:rsidR="00974F0D" w:rsidRPr="00093ECE" w:rsidRDefault="00546719" w:rsidP="00093ECE">
            <w:pPr>
              <w:pStyle w:val="Paragraph"/>
              <w:spacing w:before="120" w:after="240"/>
              <w:ind w:left="144" w:right="288"/>
            </w:pPr>
            <w:r w:rsidRPr="00093ECE">
              <w:t>Amazon Web Services (AWS) and Google Cloud Platform (GCP, beta) are now supported as cloud ecosystems and data platform vendors. The Batch Analysis module allows users to trace production orders and product genealogy, access expert recommendations, and enjoy improved navigation and performance. The Expert Knowledge module, powered by IX GenAI’s Knowledge Validation Agent and AOT’s Recommendation Framework, enhances the validation and capture of expert knowledge for actionable insights. Light mode readability has been improved across all AOT components. Additionally, the development team has expanded architectural blueprints and documented industry use cases in sectors such as semiconductor, pharma, automotive, oil and gas, consumer packaged goods, specialty chemicals, and energy optimization, showcasing AOT’s versatility in solving manufacturing challenges.</w:t>
            </w:r>
          </w:p>
        </w:tc>
      </w:tr>
      <w:tr w:rsidR="00AA63D0" w14:paraId="3BD67D65" w14:textId="77777777" w:rsidTr="00F72231">
        <w:trPr>
          <w:trHeight w:val="805"/>
        </w:trPr>
        <w:tc>
          <w:tcPr>
            <w:tcW w:w="715" w:type="dxa"/>
          </w:tcPr>
          <w:p w14:paraId="6EB614A1" w14:textId="2E45F054" w:rsidR="00AA63D0" w:rsidRDefault="00AA63D0" w:rsidP="00D67ADD">
            <w:pPr>
              <w:spacing w:before="120" w:after="60"/>
              <w:jc w:val="center"/>
            </w:pPr>
            <w:hyperlink r:id="rId23" w:history="1">
              <w:r w:rsidRPr="004B3EC2">
                <w:rPr>
                  <w:rStyle w:val="Hyperlink"/>
                  <w:rFonts w:cstheme="minorBidi"/>
                </w:rPr>
                <w:t>2.4</w:t>
              </w:r>
            </w:hyperlink>
          </w:p>
        </w:tc>
        <w:tc>
          <w:tcPr>
            <w:tcW w:w="8635" w:type="dxa"/>
          </w:tcPr>
          <w:p w14:paraId="1132884C" w14:textId="5394DF3F" w:rsidR="00050DA2" w:rsidRPr="00050DA2" w:rsidRDefault="00050DA2" w:rsidP="008C705B">
            <w:pPr>
              <w:pStyle w:val="Paragraph"/>
              <w:spacing w:before="120" w:after="240"/>
              <w:ind w:left="144" w:right="288"/>
            </w:pPr>
            <w:r w:rsidRPr="00050DA2">
              <w:t xml:space="preserve">In the 2.4 release, a layered design </w:t>
            </w:r>
            <w:r w:rsidR="001942A9">
              <w:t>was</w:t>
            </w:r>
            <w:r w:rsidRPr="00050DA2">
              <w:t xml:space="preserve"> introduced to enhance code reusability and simplify porting across multiple data architectures and ecosystem platforms. The new architecture segregates data access code on both Azure and CDF, creating distinct Business and Data Access layers. </w:t>
            </w:r>
            <w:r w:rsidR="008C705B" w:rsidRPr="008C705B">
              <w:rPr>
                <w:color w:val="000000"/>
              </w:rPr>
              <w:t>This improved data storage and transaction handling, enabling seamless modification, maintenance, and extension of the application without affecting the data access layer.</w:t>
            </w:r>
            <w:r w:rsidR="008C705B">
              <w:rPr>
                <w:color w:val="000000"/>
              </w:rPr>
              <w:t xml:space="preserve"> </w:t>
            </w:r>
            <w:r w:rsidRPr="00050DA2">
              <w:t xml:space="preserve"> This segregation </w:t>
            </w:r>
            <w:r w:rsidR="001942A9">
              <w:t>was</w:t>
            </w:r>
            <w:r w:rsidRPr="00050DA2">
              <w:t xml:space="preserve"> applied across various microservices, configuration modules, APIs, and functions for Intelligent Advisor, Operations Hierarchy, Smart KPI, and People Management components.</w:t>
            </w:r>
          </w:p>
          <w:p w14:paraId="5A424824" w14:textId="6A6E8C10" w:rsidR="00AA63D0" w:rsidRPr="008D04BE" w:rsidRDefault="00050DA2" w:rsidP="008D04BE">
            <w:pPr>
              <w:pStyle w:val="Paragraph"/>
              <w:spacing w:before="120" w:after="240"/>
              <w:ind w:left="144" w:right="288"/>
              <w:rPr>
                <w:lang w:val="en-GB"/>
              </w:rPr>
            </w:pPr>
            <w:r w:rsidRPr="00050DA2">
              <w:rPr>
                <w:lang w:val="en-GB"/>
              </w:rPr>
              <w:t xml:space="preserve">Secondly, AOT </w:t>
            </w:r>
            <w:r w:rsidR="00974F0D">
              <w:rPr>
                <w:lang w:val="en-GB"/>
              </w:rPr>
              <w:t>was</w:t>
            </w:r>
            <w:r w:rsidRPr="00050DA2">
              <w:rPr>
                <w:lang w:val="en-GB"/>
              </w:rPr>
              <w:t xml:space="preserve"> ported on Accenture Industrial Intelligence Suite (AIIS) data platform. With this initial integration, AOT users can combine </w:t>
            </w:r>
            <w:r w:rsidRPr="00050DA2">
              <w:t>the ML capabilities of AIIS Engineering Workbench (EWB), with the self-service analytics of Plant Control Tower. The AIIS/Plant Control Tower integration may be demonstrated to clients and will continue to evolve in the next release.</w:t>
            </w:r>
          </w:p>
        </w:tc>
      </w:tr>
      <w:tr w:rsidR="0029427F" w14:paraId="75CCFB6D" w14:textId="77777777" w:rsidTr="00F72231">
        <w:trPr>
          <w:trHeight w:val="805"/>
        </w:trPr>
        <w:tc>
          <w:tcPr>
            <w:tcW w:w="715" w:type="dxa"/>
          </w:tcPr>
          <w:p w14:paraId="260A6642" w14:textId="0EA8B50A" w:rsidR="0029427F" w:rsidRDefault="0029427F" w:rsidP="00D67ADD">
            <w:pPr>
              <w:spacing w:before="120" w:after="60"/>
              <w:jc w:val="center"/>
            </w:pPr>
            <w:hyperlink r:id="rId24" w:history="1">
              <w:r w:rsidRPr="00E84078">
                <w:rPr>
                  <w:rStyle w:val="Hyperlink"/>
                  <w:rFonts w:cstheme="minorBidi"/>
                </w:rPr>
                <w:t>2.3</w:t>
              </w:r>
            </w:hyperlink>
          </w:p>
        </w:tc>
        <w:tc>
          <w:tcPr>
            <w:tcW w:w="8635" w:type="dxa"/>
          </w:tcPr>
          <w:p w14:paraId="7801BD6D" w14:textId="45DD3A81" w:rsidR="0029427F" w:rsidRPr="000B6CA1" w:rsidRDefault="0029427F" w:rsidP="00D67ADD">
            <w:pPr>
              <w:pStyle w:val="Paragraph"/>
              <w:spacing w:before="120" w:after="240"/>
              <w:ind w:left="144" w:right="288"/>
            </w:pPr>
            <w:r>
              <w:t>AOT 2.3 introduces three main improvements: Redesigned Builder and Viewer UIs include 2D views, AI-powered Digital Twin Assistant</w:t>
            </w:r>
            <w:r w:rsidR="00E84078">
              <w:t xml:space="preserve">, and </w:t>
            </w:r>
            <w:r>
              <w:t>Event-based KPIs for analyzing events</w:t>
            </w:r>
            <w:r w:rsidR="00E84078">
              <w:t>.</w:t>
            </w:r>
          </w:p>
        </w:tc>
      </w:tr>
      <w:tr w:rsidR="00D61345" w14:paraId="585281E4" w14:textId="77777777" w:rsidTr="00F72231">
        <w:trPr>
          <w:trHeight w:val="704"/>
        </w:trPr>
        <w:tc>
          <w:tcPr>
            <w:tcW w:w="715" w:type="dxa"/>
          </w:tcPr>
          <w:p w14:paraId="09885915" w14:textId="3BD25B94" w:rsidR="00D61345" w:rsidRDefault="00D61345" w:rsidP="00D67ADD">
            <w:pPr>
              <w:spacing w:before="120" w:after="60"/>
              <w:jc w:val="center"/>
            </w:pPr>
            <w:hyperlink r:id="rId25" w:history="1">
              <w:r w:rsidRPr="008B2DFE">
                <w:rPr>
                  <w:rStyle w:val="Hyperlink"/>
                  <w:rFonts w:cstheme="minorBidi"/>
                </w:rPr>
                <w:t>2.2</w:t>
              </w:r>
            </w:hyperlink>
          </w:p>
        </w:tc>
        <w:tc>
          <w:tcPr>
            <w:tcW w:w="8635" w:type="dxa"/>
          </w:tcPr>
          <w:p w14:paraId="4ECE384B" w14:textId="1D100673" w:rsidR="00D61345" w:rsidRPr="00133B5B" w:rsidRDefault="000B6CA1" w:rsidP="00D67ADD">
            <w:pPr>
              <w:pStyle w:val="Paragraph"/>
              <w:spacing w:before="120" w:after="240"/>
              <w:ind w:left="144" w:right="288"/>
            </w:pPr>
            <w:r w:rsidRPr="000B6CA1">
              <w:t>AOT 2.2 introduces interface usability enhancements across the application and continued extension of functionalities for the Azure Digital Twin variant, which are detailed further in the document.</w:t>
            </w:r>
          </w:p>
        </w:tc>
      </w:tr>
      <w:tr w:rsidR="00133B5B" w14:paraId="15EAE0A8" w14:textId="77777777" w:rsidTr="00F72231">
        <w:trPr>
          <w:trHeight w:val="1236"/>
        </w:trPr>
        <w:tc>
          <w:tcPr>
            <w:tcW w:w="715" w:type="dxa"/>
          </w:tcPr>
          <w:p w14:paraId="1CE12FD4" w14:textId="41A9A50B" w:rsidR="00133B5B" w:rsidRDefault="00133B5B" w:rsidP="00D67ADD">
            <w:pPr>
              <w:spacing w:before="120" w:after="60"/>
              <w:jc w:val="center"/>
            </w:pPr>
            <w:hyperlink r:id="rId26" w:history="1">
              <w:r w:rsidRPr="00440C52">
                <w:rPr>
                  <w:rStyle w:val="Hyperlink"/>
                  <w:rFonts w:cstheme="minorBidi"/>
                </w:rPr>
                <w:t>2.1</w:t>
              </w:r>
            </w:hyperlink>
          </w:p>
        </w:tc>
        <w:tc>
          <w:tcPr>
            <w:tcW w:w="8635" w:type="dxa"/>
          </w:tcPr>
          <w:p w14:paraId="05F4A858" w14:textId="2A96E29A" w:rsidR="00133B5B" w:rsidRPr="00BE501A" w:rsidRDefault="00133B5B" w:rsidP="00D67ADD">
            <w:pPr>
              <w:pStyle w:val="Paragraph"/>
              <w:spacing w:before="120" w:after="240"/>
              <w:ind w:left="144" w:right="288"/>
            </w:pPr>
            <w:r w:rsidRPr="00133B5B">
              <w:t>AOT 2.1 introduces expanded functionality across the board for its Azure Digital Twin-based variant, including the availability of the KPI configuration module and Power BI reports. AOT 2.1 brings multi</w:t>
            </w:r>
            <w:r w:rsidR="000B6CA1">
              <w:t>-</w:t>
            </w:r>
            <w:r w:rsidRPr="00133B5B">
              <w:t>plant support and globe view to the Twin Viewer component, optimized APIs for faster dashboard loading and a lighter and faster user interface. Numerous minor enhancements and bug fixes were also completed.</w:t>
            </w:r>
          </w:p>
        </w:tc>
      </w:tr>
      <w:tr w:rsidR="00313CAF" w14:paraId="2F4812E0" w14:textId="77777777" w:rsidTr="00F72231">
        <w:trPr>
          <w:trHeight w:val="1236"/>
        </w:trPr>
        <w:tc>
          <w:tcPr>
            <w:tcW w:w="715" w:type="dxa"/>
          </w:tcPr>
          <w:p w14:paraId="1B21E882" w14:textId="7FB68D00" w:rsidR="00313CAF" w:rsidRDefault="0064522C" w:rsidP="00D67ADD">
            <w:pPr>
              <w:spacing w:before="120" w:after="60"/>
              <w:jc w:val="center"/>
            </w:pPr>
            <w:hyperlink r:id="rId27" w:history="1">
              <w:r w:rsidRPr="00A86505">
                <w:rPr>
                  <w:rStyle w:val="Hyperlink"/>
                  <w:rFonts w:cstheme="minorBidi"/>
                </w:rPr>
                <w:t>2.0</w:t>
              </w:r>
            </w:hyperlink>
          </w:p>
        </w:tc>
        <w:tc>
          <w:tcPr>
            <w:tcW w:w="8635" w:type="dxa"/>
          </w:tcPr>
          <w:p w14:paraId="7EE19618" w14:textId="2651C8F3" w:rsidR="00313CAF" w:rsidRDefault="00BE501A" w:rsidP="00D67ADD">
            <w:pPr>
              <w:pStyle w:val="Paragraph"/>
              <w:spacing w:before="120" w:after="240"/>
              <w:ind w:left="144" w:right="288"/>
            </w:pPr>
            <w:r w:rsidRPr="00BE501A">
              <w:t>The 2.0 release of AOT is the first major revision of this asset. It allows the deployment of AOT accelerators using Azure native services (Azure Digital Twin), as an alternative to Cognite Data Fusion. This presents more choices to clients for the implementation of the Data foundation at the heart of a Digital Twin.</w:t>
            </w:r>
            <w:r w:rsidR="00DF06D8">
              <w:t xml:space="preserve"> </w:t>
            </w:r>
            <w:r w:rsidRPr="00BE501A">
              <w:t>AOT version 2.0 also offers complete support for multiple plant deployment, including management of different units of measure. It brings numerous smaller enhancements, as well as performance improvements across the board.</w:t>
            </w:r>
            <w:r w:rsidR="003E0EE6">
              <w:t xml:space="preserve"> </w:t>
            </w:r>
          </w:p>
        </w:tc>
      </w:tr>
      <w:tr w:rsidR="00F14147" w14:paraId="4748059D" w14:textId="77777777" w:rsidTr="00F72231">
        <w:trPr>
          <w:trHeight w:val="14"/>
        </w:trPr>
        <w:tc>
          <w:tcPr>
            <w:tcW w:w="715" w:type="dxa"/>
          </w:tcPr>
          <w:p w14:paraId="41941D6E" w14:textId="16E91A46" w:rsidR="00F14147" w:rsidRDefault="00F14147" w:rsidP="00D67ADD">
            <w:pPr>
              <w:spacing w:before="120" w:after="60"/>
              <w:jc w:val="center"/>
            </w:pPr>
            <w:hyperlink r:id="rId28" w:history="1">
              <w:r w:rsidRPr="00CD383A">
                <w:rPr>
                  <w:rStyle w:val="Hyperlink"/>
                  <w:rFonts w:cstheme="minorBidi"/>
                </w:rPr>
                <w:t>1.4</w:t>
              </w:r>
            </w:hyperlink>
          </w:p>
        </w:tc>
        <w:tc>
          <w:tcPr>
            <w:tcW w:w="8635" w:type="dxa"/>
          </w:tcPr>
          <w:p w14:paraId="6A39D25C" w14:textId="5CA3E0C4" w:rsidR="00F14147" w:rsidRPr="00E044E2" w:rsidRDefault="003828BF" w:rsidP="00D67ADD">
            <w:pPr>
              <w:pStyle w:val="Paragraph"/>
              <w:spacing w:before="120" w:after="240"/>
              <w:ind w:left="144" w:right="288"/>
            </w:pPr>
            <w:r>
              <w:t>T</w:t>
            </w:r>
            <w:r w:rsidRPr="003828BF">
              <w:t xml:space="preserve">he 1.4 release of AOT </w:t>
            </w:r>
            <w:r w:rsidR="00786624">
              <w:t>boasts</w:t>
            </w:r>
            <w:r w:rsidRPr="003828BF">
              <w:t xml:space="preserve"> improved performance across the board</w:t>
            </w:r>
            <w:r w:rsidR="00871919">
              <w:t xml:space="preserve">. It also includes </w:t>
            </w:r>
            <w:r w:rsidRPr="003828BF">
              <w:t>several enhancements and new features</w:t>
            </w:r>
            <w:r w:rsidR="006D25FD">
              <w:t xml:space="preserve"> for Intelligent Advisor, Smart KPIs, Operations Hierarchy, and the 3D component.</w:t>
            </w:r>
            <w:r w:rsidR="002F6718">
              <w:t xml:space="preserve"> </w:t>
            </w:r>
          </w:p>
        </w:tc>
      </w:tr>
      <w:tr w:rsidR="00E044E2" w14:paraId="56C7137F" w14:textId="77777777" w:rsidTr="00F72231">
        <w:trPr>
          <w:trHeight w:val="622"/>
        </w:trPr>
        <w:tc>
          <w:tcPr>
            <w:tcW w:w="715" w:type="dxa"/>
          </w:tcPr>
          <w:p w14:paraId="55C457EB" w14:textId="2717C6C4" w:rsidR="00E044E2" w:rsidRDefault="00E044E2" w:rsidP="00D67ADD">
            <w:pPr>
              <w:spacing w:before="120" w:after="60"/>
              <w:jc w:val="center"/>
            </w:pPr>
            <w:hyperlink r:id="rId29" w:history="1">
              <w:r w:rsidRPr="001D0B19">
                <w:rPr>
                  <w:rStyle w:val="Hyperlink"/>
                  <w:rFonts w:cstheme="minorBidi"/>
                </w:rPr>
                <w:t>1.3</w:t>
              </w:r>
            </w:hyperlink>
          </w:p>
        </w:tc>
        <w:tc>
          <w:tcPr>
            <w:tcW w:w="8635" w:type="dxa"/>
          </w:tcPr>
          <w:p w14:paraId="686DC90E" w14:textId="3E198E51" w:rsidR="00E044E2" w:rsidRPr="00B330D9" w:rsidRDefault="00E044E2" w:rsidP="00D67ADD">
            <w:pPr>
              <w:pStyle w:val="Paragraph"/>
              <w:spacing w:before="120" w:after="240"/>
              <w:ind w:left="144" w:right="288"/>
            </w:pPr>
            <w:r w:rsidRPr="00E044E2">
              <w:t>The 1.3 release of AOT features improved performance across the board. It introduces the Configuration UI for Intelligent Advisor that supports both KPI and ML</w:t>
            </w:r>
            <w:r w:rsidR="000B6CA1">
              <w:t>-</w:t>
            </w:r>
            <w:r w:rsidRPr="00E044E2">
              <w:t>based insight configurations. The Smart KPI component is now integrated with People Management and Operations Hierarchy with a more reliable computation engine that can handle error scenarios augmented by a retry mechanism. Finally, AOT now supports multiple units of measure (UOM) at once. The addition of this functionality results in improved global/local views on the various components within AOT – meaning that clients need not standardize various units of measure to effectively use AOT.</w:t>
            </w:r>
          </w:p>
        </w:tc>
      </w:tr>
      <w:tr w:rsidR="783D9EAB" w14:paraId="34C43C5B" w14:textId="77777777" w:rsidTr="00D066EA">
        <w:trPr>
          <w:cantSplit/>
          <w:trHeight w:val="622"/>
        </w:trPr>
        <w:tc>
          <w:tcPr>
            <w:tcW w:w="715" w:type="dxa"/>
          </w:tcPr>
          <w:p w14:paraId="275240D8" w14:textId="0E4AA212" w:rsidR="1F003F7D" w:rsidRDefault="1F003F7D" w:rsidP="00D67ADD">
            <w:pPr>
              <w:spacing w:before="120" w:after="60"/>
              <w:jc w:val="center"/>
            </w:pPr>
            <w:hyperlink r:id="rId30" w:history="1">
              <w:r w:rsidRPr="001D0B19">
                <w:rPr>
                  <w:rStyle w:val="Hyperlink"/>
                  <w:rFonts w:cstheme="minorBidi"/>
                </w:rPr>
                <w:t>1.2</w:t>
              </w:r>
            </w:hyperlink>
          </w:p>
        </w:tc>
        <w:tc>
          <w:tcPr>
            <w:tcW w:w="8635" w:type="dxa"/>
          </w:tcPr>
          <w:p w14:paraId="41319C37" w14:textId="4D1D0A0E" w:rsidR="1F003F7D" w:rsidRDefault="00B330D9" w:rsidP="00D67ADD">
            <w:pPr>
              <w:pStyle w:val="Paragraph"/>
              <w:spacing w:before="120" w:after="240"/>
              <w:ind w:left="144" w:right="288"/>
            </w:pPr>
            <w:bookmarkStart w:id="6" w:name="_Hlk126847482"/>
            <w:r w:rsidRPr="00B330D9">
              <w:t>The 1.2 release introduces both event-based scheduling and people management functions in the Smart KPI component to accommodate high-frequency KPI computations and role-based access control, respectively. Secondly, the Intelligent Advisor (IA) component has been integrated with SAP (for closing the loop) and now supports complete lifecycle management of Insights and Actions. Finally, AOT’s Twin Builder component now includes functionality to upload 3D models that are then mapped to the asset hierarchy stored in the Cognite platform and eventually visualized in the Twin Viewer application. The 3D Viewer component has also been enhanced to show even more detail about Insights, Actions, and Smart KPI data. Other minor enhancements to functionality and performance, as well as bug fixes, are noted later in this document.</w:t>
            </w:r>
            <w:r w:rsidR="19E2E8CB">
              <w:t xml:space="preserve"> </w:t>
            </w:r>
            <w:bookmarkEnd w:id="6"/>
          </w:p>
        </w:tc>
      </w:tr>
      <w:tr w:rsidR="00585895" w:rsidRPr="00313499" w14:paraId="3C920803" w14:textId="77777777" w:rsidTr="00F72231">
        <w:trPr>
          <w:trHeight w:val="622"/>
        </w:trPr>
        <w:tc>
          <w:tcPr>
            <w:tcW w:w="715" w:type="dxa"/>
          </w:tcPr>
          <w:p w14:paraId="13E7E763" w14:textId="4D13E3CC" w:rsidR="00585895" w:rsidRPr="00D862E6" w:rsidRDefault="00D862E6" w:rsidP="00D67ADD">
            <w:pPr>
              <w:spacing w:before="120" w:after="60"/>
              <w:jc w:val="center"/>
            </w:pPr>
            <w:hyperlink r:id="rId31" w:history="1">
              <w:r w:rsidRPr="001D0B19">
                <w:rPr>
                  <w:rStyle w:val="Hyperlink"/>
                  <w:rFonts w:cstheme="minorBidi"/>
                </w:rPr>
                <w:t>1.1</w:t>
              </w:r>
            </w:hyperlink>
          </w:p>
        </w:tc>
        <w:tc>
          <w:tcPr>
            <w:tcW w:w="8635" w:type="dxa"/>
          </w:tcPr>
          <w:p w14:paraId="42A48513" w14:textId="6494A84E" w:rsidR="00585895" w:rsidRPr="00D862E6" w:rsidRDefault="002C7114" w:rsidP="00D67ADD">
            <w:pPr>
              <w:pStyle w:val="Paragraph"/>
              <w:spacing w:before="120" w:after="240"/>
              <w:ind w:left="144" w:right="288"/>
            </w:pPr>
            <w:r w:rsidRPr="00565C6E">
              <w:t xml:space="preserve">The </w:t>
            </w:r>
            <w:r>
              <w:t>1.1</w:t>
            </w:r>
            <w:r w:rsidRPr="00565C6E">
              <w:t xml:space="preserve"> release </w:t>
            </w:r>
            <w:r>
              <w:t xml:space="preserve">introduces a People Management console for the assignment of user roles and departments, integrated </w:t>
            </w:r>
            <w:r w:rsidR="006167F5">
              <w:t>with</w:t>
            </w:r>
            <w:r>
              <w:t xml:space="preserve"> Smart KPI for role-based data access.  It also brings a more robust KPI configuration process, enhancements to the Intelligent Advisor for manual Insight and Action creation, and composite 3D layouts with two-way interaction with IA and Smart KPI components.</w:t>
            </w:r>
          </w:p>
        </w:tc>
      </w:tr>
      <w:tr w:rsidR="00D862E6" w:rsidRPr="00313499" w14:paraId="19A21187" w14:textId="77777777" w:rsidTr="00F72231">
        <w:trPr>
          <w:trHeight w:val="838"/>
        </w:trPr>
        <w:tc>
          <w:tcPr>
            <w:tcW w:w="715" w:type="dxa"/>
          </w:tcPr>
          <w:p w14:paraId="2AF2FC33" w14:textId="57C3C37E" w:rsidR="00D862E6" w:rsidRPr="00D862E6" w:rsidRDefault="00D862E6" w:rsidP="00D67ADD">
            <w:pPr>
              <w:spacing w:before="120" w:after="60"/>
              <w:jc w:val="center"/>
            </w:pPr>
            <w:hyperlink r:id="rId32" w:history="1">
              <w:r w:rsidRPr="001D0B19">
                <w:rPr>
                  <w:rStyle w:val="Hyperlink"/>
                  <w:rFonts w:cstheme="minorBidi"/>
                </w:rPr>
                <w:t>1.01</w:t>
              </w:r>
            </w:hyperlink>
          </w:p>
        </w:tc>
        <w:tc>
          <w:tcPr>
            <w:tcW w:w="8635" w:type="dxa"/>
          </w:tcPr>
          <w:p w14:paraId="46C1F35D" w14:textId="1B290938" w:rsidR="00D862E6" w:rsidRPr="00D862E6" w:rsidRDefault="00D862E6" w:rsidP="00D67ADD">
            <w:pPr>
              <w:spacing w:before="120" w:after="240"/>
              <w:ind w:left="144" w:right="288"/>
              <w:jc w:val="both"/>
            </w:pPr>
            <w:r w:rsidRPr="00D862E6">
              <w:t>The 1.0.1 minor release of the Accenture Operations Twin (AOT) delivered bug fixes in the Smart KPI component related to KPI config template upload, Calendar</w:t>
            </w:r>
            <w:r w:rsidR="006167F5">
              <w:t>,</w:t>
            </w:r>
            <w:r w:rsidRPr="00D862E6">
              <w:t xml:space="preserve"> and KPI tiles. The release also included some enhancements related to the IA Advisor panel and the SAP PM WO accelerator.</w:t>
            </w:r>
            <w:r>
              <w:t xml:space="preserve"> </w:t>
            </w:r>
          </w:p>
        </w:tc>
      </w:tr>
      <w:tr w:rsidR="00D862E6" w:rsidRPr="00313499" w14:paraId="739AC2D8" w14:textId="77777777" w:rsidTr="00F72231">
        <w:trPr>
          <w:trHeight w:val="1009"/>
        </w:trPr>
        <w:tc>
          <w:tcPr>
            <w:tcW w:w="715" w:type="dxa"/>
          </w:tcPr>
          <w:p w14:paraId="494A3A53" w14:textId="21A6BDBF" w:rsidR="00D862E6" w:rsidRPr="00D862E6" w:rsidRDefault="00D862E6" w:rsidP="00D67ADD">
            <w:pPr>
              <w:spacing w:before="120" w:after="60"/>
              <w:jc w:val="center"/>
            </w:pPr>
            <w:hyperlink r:id="rId33" w:history="1">
              <w:r w:rsidRPr="001D0B19">
                <w:rPr>
                  <w:rStyle w:val="Hyperlink"/>
                  <w:rFonts w:cstheme="minorBidi"/>
                </w:rPr>
                <w:t>1.0</w:t>
              </w:r>
            </w:hyperlink>
          </w:p>
        </w:tc>
        <w:tc>
          <w:tcPr>
            <w:tcW w:w="8635" w:type="dxa"/>
          </w:tcPr>
          <w:p w14:paraId="518B99DE" w14:textId="2C3EABB9" w:rsidR="00D862E6" w:rsidRPr="00D862E6" w:rsidRDefault="00D862E6" w:rsidP="00D67ADD">
            <w:pPr>
              <w:spacing w:before="120" w:after="240"/>
              <w:ind w:left="144" w:right="288"/>
              <w:jc w:val="both"/>
            </w:pPr>
            <w:r w:rsidRPr="00D862E6">
              <w:t>The 1.0 release of the Accenture Operations Twin (AOT) delivered MVP functionality for the Intelligent Advisor, Smart KPI, Data Ingestion Accelerators, and 3D Builder/Viewer components, using Cognite Data Fusion. AOT 1.0 also included a demonstrable Plant Control Tower application to showcase cross-component integration.</w:t>
            </w:r>
          </w:p>
        </w:tc>
      </w:tr>
      <w:bookmarkEnd w:id="3"/>
      <w:bookmarkEnd w:id="4"/>
    </w:tbl>
    <w:p w14:paraId="630B036E" w14:textId="77777777" w:rsidR="00D93D82" w:rsidRPr="005A3D09" w:rsidRDefault="00D93D82" w:rsidP="001942A9"/>
    <w:sectPr w:rsidR="00D93D82" w:rsidRPr="005A3D09" w:rsidSect="00D066EA">
      <w:pgSz w:w="12240" w:h="1296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F949" w14:textId="77777777" w:rsidR="007E364E" w:rsidRDefault="007E364E" w:rsidP="00AF7049">
      <w:r>
        <w:separator/>
      </w:r>
    </w:p>
  </w:endnote>
  <w:endnote w:type="continuationSeparator" w:id="0">
    <w:p w14:paraId="71A55DF6" w14:textId="77777777" w:rsidR="007E364E" w:rsidRDefault="007E364E" w:rsidP="00AF7049">
      <w:r>
        <w:continuationSeparator/>
      </w:r>
    </w:p>
  </w:endnote>
  <w:endnote w:type="continuationNotice" w:id="1">
    <w:p w14:paraId="15DDA8C1" w14:textId="77777777" w:rsidR="007E364E" w:rsidRDefault="007E36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E6A3" w14:textId="77777777" w:rsidR="00DE4F1A" w:rsidRDefault="00DE4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AD70" w14:textId="3186212A" w:rsidR="00322A38" w:rsidRPr="000F704C" w:rsidRDefault="000F704C">
    <w:pPr>
      <w:pStyle w:val="Footer"/>
    </w:pPr>
    <w:bookmarkStart w:id="0" w:name="OLE_LINK16"/>
    <w:r w:rsidRPr="000F704C">
      <w:rPr>
        <w:rFonts w:cs="Arial"/>
        <w:sz w:val="16"/>
        <w:szCs w:val="16"/>
      </w:rPr>
      <w:t>© 202</w:t>
    </w:r>
    <w:r w:rsidR="004727F4">
      <w:rPr>
        <w:rFonts w:cs="Arial"/>
        <w:sz w:val="16"/>
        <w:szCs w:val="16"/>
      </w:rPr>
      <w:t>5</w:t>
    </w:r>
    <w:r w:rsidRPr="000F704C">
      <w:rPr>
        <w:rFonts w:cs="Arial"/>
        <w:sz w:val="16"/>
        <w:szCs w:val="16"/>
      </w:rPr>
      <w:t xml:space="preserve"> Accenture. All rights reserved.</w:t>
    </w:r>
    <w:r w:rsidRPr="000F704C">
      <w:rPr>
        <w:rFonts w:cs="Arial"/>
        <w:sz w:val="16"/>
        <w:szCs w:val="16"/>
      </w:rPr>
      <w:ptab w:relativeTo="margin" w:alignment="center" w:leader="none"/>
    </w:r>
    <w:r w:rsidRPr="000F704C">
      <w:rPr>
        <w:rFonts w:cs="Arial"/>
        <w:sz w:val="16"/>
        <w:szCs w:val="16"/>
      </w:rPr>
      <w:t>Document Version:</w:t>
    </w:r>
    <w:r w:rsidR="009573A5">
      <w:rPr>
        <w:rFonts w:cs="Arial"/>
        <w:sz w:val="16"/>
        <w:szCs w:val="16"/>
      </w:rPr>
      <w:t xml:space="preserve"> </w:t>
    </w:r>
    <w:sdt>
      <w:sdtPr>
        <w:rPr>
          <w:rFonts w:cs="Arial"/>
          <w:sz w:val="16"/>
          <w:szCs w:val="16"/>
        </w:rPr>
        <w:alias w:val="Label"/>
        <w:tag w:val="DLCPolicyLabelValue"/>
        <w:id w:val="-639492158"/>
        <w:lock w:val="contentLocked"/>
        <w:placeholder>
          <w:docPart w:val="1E4F1F3EF7424252AA70D0368FEC551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2EFB02-509B-476D-B921-9665CD79AC35}"/>
        <w:text w:multiLine="1"/>
      </w:sdtPr>
      <w:sdtContent>
        <w:r w:rsidR="00DE4F1A">
          <w:rPr>
            <w:rFonts w:cs="Arial"/>
            <w:sz w:val="16"/>
            <w:szCs w:val="16"/>
          </w:rPr>
          <w:t>7.0</w:t>
        </w:r>
      </w:sdtContent>
    </w:sdt>
    <w:r w:rsidRPr="000F704C">
      <w:rPr>
        <w:rFonts w:cs="Arial"/>
        <w:sz w:val="16"/>
        <w:szCs w:val="16"/>
      </w:rPr>
      <w:ptab w:relativeTo="margin" w:alignment="right" w:leader="none"/>
    </w:r>
    <w:r w:rsidRPr="000F704C">
      <w:rPr>
        <w:rFonts w:cs="Arial"/>
        <w:sz w:val="16"/>
        <w:szCs w:val="16"/>
      </w:rPr>
      <w:fldChar w:fldCharType="begin"/>
    </w:r>
    <w:r w:rsidRPr="000F704C">
      <w:rPr>
        <w:rFonts w:cs="Arial"/>
        <w:sz w:val="16"/>
        <w:szCs w:val="16"/>
      </w:rPr>
      <w:instrText xml:space="preserve"> PAGE   \* MERGEFORMAT </w:instrText>
    </w:r>
    <w:r w:rsidRPr="000F704C">
      <w:rPr>
        <w:rFonts w:cs="Arial"/>
        <w:sz w:val="16"/>
        <w:szCs w:val="16"/>
      </w:rPr>
      <w:fldChar w:fldCharType="separate"/>
    </w:r>
    <w:r w:rsidRPr="000F704C">
      <w:rPr>
        <w:rFonts w:cs="Arial"/>
        <w:noProof/>
        <w:sz w:val="16"/>
        <w:szCs w:val="16"/>
      </w:rPr>
      <w:t>1</w:t>
    </w:r>
    <w:r w:rsidRPr="000F704C">
      <w:rPr>
        <w:rFonts w:cs="Arial"/>
        <w:noProof/>
        <w:sz w:val="16"/>
        <w:szCs w:val="16"/>
      </w:rPr>
      <w:fldChar w:fldCharType="end"/>
    </w:r>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5DA8" w14:textId="77777777" w:rsidR="00DE4F1A" w:rsidRDefault="00DE4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44560" w14:textId="77777777" w:rsidR="007E364E" w:rsidRDefault="007E364E" w:rsidP="00AF7049">
      <w:r>
        <w:separator/>
      </w:r>
    </w:p>
  </w:footnote>
  <w:footnote w:type="continuationSeparator" w:id="0">
    <w:p w14:paraId="2CCD5135" w14:textId="77777777" w:rsidR="007E364E" w:rsidRDefault="007E364E" w:rsidP="00AF7049">
      <w:r>
        <w:continuationSeparator/>
      </w:r>
    </w:p>
  </w:footnote>
  <w:footnote w:type="continuationNotice" w:id="1">
    <w:p w14:paraId="36633DAE" w14:textId="77777777" w:rsidR="007E364E" w:rsidRDefault="007E36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73E8" w14:textId="77777777" w:rsidR="00DE4F1A" w:rsidRDefault="00DE4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9673" w14:textId="4D4908D6" w:rsidR="006324D6" w:rsidRPr="006324D6" w:rsidRDefault="004727F4" w:rsidP="006324D6">
    <w:pPr>
      <w:pStyle w:val="Header"/>
      <w:jc w:val="right"/>
      <w:rPr>
        <w:sz w:val="16"/>
        <w:szCs w:val="16"/>
      </w:rPr>
    </w:pPr>
    <w:r>
      <w:rPr>
        <w:noProof/>
        <w:sz w:val="16"/>
        <w:szCs w:val="16"/>
      </w:rPr>
      <w:drawing>
        <wp:inline distT="0" distB="0" distL="0" distR="0" wp14:anchorId="785FE3FC" wp14:editId="5BC2210B">
          <wp:extent cx="765811" cy="200025"/>
          <wp:effectExtent l="0" t="0" r="0" b="0"/>
          <wp:docPr id="602602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02653"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3895" cy="202136"/>
                  </a:xfrm>
                  <a:prstGeom prst="rect">
                    <a:avLst/>
                  </a:prstGeom>
                </pic:spPr>
              </pic:pic>
            </a:graphicData>
          </a:graphic>
        </wp:inline>
      </w:drawing>
    </w:r>
    <w:r w:rsidRPr="004727F4">
      <w:rPr>
        <w:sz w:val="16"/>
        <w:szCs w:val="16"/>
      </w:rPr>
      <w:ptab w:relativeTo="margin" w:alignment="center" w:leader="none"/>
    </w:r>
    <w:r w:rsidRPr="004727F4">
      <w:rPr>
        <w:sz w:val="16"/>
        <w:szCs w:val="16"/>
      </w:rP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8F50" w14:textId="77777777" w:rsidR="00DE4F1A" w:rsidRDefault="00DE4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86181"/>
    <w:multiLevelType w:val="hybridMultilevel"/>
    <w:tmpl w:val="D9321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23281D"/>
    <w:multiLevelType w:val="hybridMultilevel"/>
    <w:tmpl w:val="C554BE58"/>
    <w:lvl w:ilvl="0" w:tplc="C48A5780">
      <w:start w:val="1"/>
      <w:numFmt w:val="decimal"/>
      <w:pStyle w:val="UOLIST1"/>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5" w15:restartNumberingAfterBreak="0">
    <w:nsid w:val="0E673D9B"/>
    <w:multiLevelType w:val="hybridMultilevel"/>
    <w:tmpl w:val="428C6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242CB"/>
    <w:multiLevelType w:val="hybridMultilevel"/>
    <w:tmpl w:val="4A42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183F31"/>
    <w:multiLevelType w:val="hybridMultilevel"/>
    <w:tmpl w:val="0688DCE0"/>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372CFF"/>
    <w:multiLevelType w:val="hybridMultilevel"/>
    <w:tmpl w:val="C9DA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705D9"/>
    <w:multiLevelType w:val="hybridMultilevel"/>
    <w:tmpl w:val="104C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1061F"/>
    <w:multiLevelType w:val="hybridMultilevel"/>
    <w:tmpl w:val="746A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BD5EBE"/>
    <w:multiLevelType w:val="hybridMultilevel"/>
    <w:tmpl w:val="B9C6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3587A"/>
    <w:multiLevelType w:val="hybridMultilevel"/>
    <w:tmpl w:val="1AC426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795409"/>
    <w:multiLevelType w:val="hybridMultilevel"/>
    <w:tmpl w:val="32844688"/>
    <w:lvl w:ilvl="0" w:tplc="38A46ABA">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AE08B9"/>
    <w:multiLevelType w:val="hybridMultilevel"/>
    <w:tmpl w:val="B23AE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6"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3C6F99"/>
    <w:multiLevelType w:val="hybridMultilevel"/>
    <w:tmpl w:val="20AC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513EC"/>
    <w:multiLevelType w:val="hybridMultilevel"/>
    <w:tmpl w:val="D1CA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A14858"/>
    <w:multiLevelType w:val="hybridMultilevel"/>
    <w:tmpl w:val="FFFFFFFF"/>
    <w:lvl w:ilvl="0" w:tplc="11D09774">
      <w:start w:val="1"/>
      <w:numFmt w:val="bullet"/>
      <w:lvlText w:val="·"/>
      <w:lvlJc w:val="left"/>
      <w:pPr>
        <w:ind w:left="720" w:hanging="360"/>
      </w:pPr>
      <w:rPr>
        <w:rFonts w:ascii="Symbol" w:hAnsi="Symbol" w:hint="default"/>
      </w:rPr>
    </w:lvl>
    <w:lvl w:ilvl="1" w:tplc="E940CF70">
      <w:start w:val="1"/>
      <w:numFmt w:val="bullet"/>
      <w:lvlText w:val="o"/>
      <w:lvlJc w:val="left"/>
      <w:pPr>
        <w:ind w:left="1440" w:hanging="360"/>
      </w:pPr>
      <w:rPr>
        <w:rFonts w:ascii="Courier New" w:hAnsi="Courier New" w:hint="default"/>
      </w:rPr>
    </w:lvl>
    <w:lvl w:ilvl="2" w:tplc="7D5009DE">
      <w:start w:val="1"/>
      <w:numFmt w:val="bullet"/>
      <w:lvlText w:val=""/>
      <w:lvlJc w:val="left"/>
      <w:pPr>
        <w:ind w:left="2160" w:hanging="360"/>
      </w:pPr>
      <w:rPr>
        <w:rFonts w:ascii="Wingdings" w:hAnsi="Wingdings" w:hint="default"/>
      </w:rPr>
    </w:lvl>
    <w:lvl w:ilvl="3" w:tplc="CEF420A8">
      <w:start w:val="1"/>
      <w:numFmt w:val="bullet"/>
      <w:lvlText w:val=""/>
      <w:lvlJc w:val="left"/>
      <w:pPr>
        <w:ind w:left="2880" w:hanging="360"/>
      </w:pPr>
      <w:rPr>
        <w:rFonts w:ascii="Symbol" w:hAnsi="Symbol" w:hint="default"/>
      </w:rPr>
    </w:lvl>
    <w:lvl w:ilvl="4" w:tplc="44FE1356">
      <w:start w:val="1"/>
      <w:numFmt w:val="bullet"/>
      <w:lvlText w:val="o"/>
      <w:lvlJc w:val="left"/>
      <w:pPr>
        <w:ind w:left="3600" w:hanging="360"/>
      </w:pPr>
      <w:rPr>
        <w:rFonts w:ascii="Courier New" w:hAnsi="Courier New" w:hint="default"/>
      </w:rPr>
    </w:lvl>
    <w:lvl w:ilvl="5" w:tplc="330A532A">
      <w:start w:val="1"/>
      <w:numFmt w:val="bullet"/>
      <w:lvlText w:val=""/>
      <w:lvlJc w:val="left"/>
      <w:pPr>
        <w:ind w:left="4320" w:hanging="360"/>
      </w:pPr>
      <w:rPr>
        <w:rFonts w:ascii="Wingdings" w:hAnsi="Wingdings" w:hint="default"/>
      </w:rPr>
    </w:lvl>
    <w:lvl w:ilvl="6" w:tplc="D846915C">
      <w:start w:val="1"/>
      <w:numFmt w:val="bullet"/>
      <w:lvlText w:val=""/>
      <w:lvlJc w:val="left"/>
      <w:pPr>
        <w:ind w:left="5040" w:hanging="360"/>
      </w:pPr>
      <w:rPr>
        <w:rFonts w:ascii="Symbol" w:hAnsi="Symbol" w:hint="default"/>
      </w:rPr>
    </w:lvl>
    <w:lvl w:ilvl="7" w:tplc="FC862880">
      <w:start w:val="1"/>
      <w:numFmt w:val="bullet"/>
      <w:lvlText w:val="o"/>
      <w:lvlJc w:val="left"/>
      <w:pPr>
        <w:ind w:left="5760" w:hanging="360"/>
      </w:pPr>
      <w:rPr>
        <w:rFonts w:ascii="Courier New" w:hAnsi="Courier New" w:hint="default"/>
      </w:rPr>
    </w:lvl>
    <w:lvl w:ilvl="8" w:tplc="194A7AB2">
      <w:start w:val="1"/>
      <w:numFmt w:val="bullet"/>
      <w:lvlText w:val=""/>
      <w:lvlJc w:val="left"/>
      <w:pPr>
        <w:ind w:left="6480" w:hanging="360"/>
      </w:pPr>
      <w:rPr>
        <w:rFonts w:ascii="Wingdings" w:hAnsi="Wingdings" w:hint="default"/>
      </w:rPr>
    </w:lvl>
  </w:abstractNum>
  <w:abstractNum w:abstractNumId="20" w15:restartNumberingAfterBreak="0">
    <w:nsid w:val="6F943FB1"/>
    <w:multiLevelType w:val="hybridMultilevel"/>
    <w:tmpl w:val="641C1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5C410C"/>
    <w:multiLevelType w:val="hybridMultilevel"/>
    <w:tmpl w:val="7506C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067484">
    <w:abstractNumId w:val="19"/>
  </w:num>
  <w:num w:numId="2" w16cid:durableId="762994395">
    <w:abstractNumId w:val="15"/>
  </w:num>
  <w:num w:numId="3" w16cid:durableId="904074155">
    <w:abstractNumId w:val="1"/>
  </w:num>
  <w:num w:numId="4" w16cid:durableId="1440446465">
    <w:abstractNumId w:val="0"/>
  </w:num>
  <w:num w:numId="5" w16cid:durableId="1486973026">
    <w:abstractNumId w:val="2"/>
  </w:num>
  <w:num w:numId="6" w16cid:durableId="882133811">
    <w:abstractNumId w:val="16"/>
  </w:num>
  <w:num w:numId="7" w16cid:durableId="1326013409">
    <w:abstractNumId w:val="4"/>
  </w:num>
  <w:num w:numId="8" w16cid:durableId="558905168">
    <w:abstractNumId w:val="6"/>
  </w:num>
  <w:num w:numId="9" w16cid:durableId="1954093880">
    <w:abstractNumId w:val="9"/>
  </w:num>
  <w:num w:numId="10" w16cid:durableId="645551069">
    <w:abstractNumId w:val="5"/>
  </w:num>
  <w:num w:numId="11" w16cid:durableId="79757856">
    <w:abstractNumId w:val="20"/>
  </w:num>
  <w:num w:numId="12" w16cid:durableId="2146970615">
    <w:abstractNumId w:val="21"/>
  </w:num>
  <w:num w:numId="13" w16cid:durableId="1308126732">
    <w:abstractNumId w:val="10"/>
  </w:num>
  <w:num w:numId="14" w16cid:durableId="1153183878">
    <w:abstractNumId w:val="11"/>
  </w:num>
  <w:num w:numId="15" w16cid:durableId="668094959">
    <w:abstractNumId w:val="12"/>
  </w:num>
  <w:num w:numId="16" w16cid:durableId="970789271">
    <w:abstractNumId w:val="8"/>
  </w:num>
  <w:num w:numId="17" w16cid:durableId="1965380420">
    <w:abstractNumId w:val="14"/>
  </w:num>
  <w:num w:numId="18" w16cid:durableId="176580286">
    <w:abstractNumId w:val="17"/>
  </w:num>
  <w:num w:numId="19" w16cid:durableId="1224950456">
    <w:abstractNumId w:val="18"/>
  </w:num>
  <w:num w:numId="20" w16cid:durableId="169686850">
    <w:abstractNumId w:val="13"/>
  </w:num>
  <w:num w:numId="21" w16cid:durableId="86080922">
    <w:abstractNumId w:val="7"/>
  </w:num>
  <w:num w:numId="22" w16cid:durableId="470178048">
    <w:abstractNumId w:val="3"/>
    <w:lvlOverride w:ilvl="0"/>
    <w:lvlOverride w:ilvl="1"/>
    <w:lvlOverride w:ilvl="2"/>
    <w:lvlOverride w:ilvl="3"/>
    <w:lvlOverride w:ilvl="4"/>
    <w:lvlOverride w:ilvl="5"/>
    <w:lvlOverride w:ilvl="6"/>
    <w:lvlOverride w:ilvl="7"/>
    <w:lvlOverride w:ilv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QwM7Q0NjOwNDQAMpV0lIJTi4sz8/NACgwtawF+FmBaLQAAAA=="/>
  </w:docVars>
  <w:rsids>
    <w:rsidRoot w:val="00D862E6"/>
    <w:rsid w:val="000017CF"/>
    <w:rsid w:val="00003140"/>
    <w:rsid w:val="000046E1"/>
    <w:rsid w:val="00005162"/>
    <w:rsid w:val="0000580E"/>
    <w:rsid w:val="00010709"/>
    <w:rsid w:val="000168A4"/>
    <w:rsid w:val="00017C51"/>
    <w:rsid w:val="0002168C"/>
    <w:rsid w:val="00026758"/>
    <w:rsid w:val="0003729F"/>
    <w:rsid w:val="00050DA2"/>
    <w:rsid w:val="00061021"/>
    <w:rsid w:val="0007322E"/>
    <w:rsid w:val="000764D2"/>
    <w:rsid w:val="0008254A"/>
    <w:rsid w:val="0008618B"/>
    <w:rsid w:val="00087C1D"/>
    <w:rsid w:val="00087E9B"/>
    <w:rsid w:val="00093C49"/>
    <w:rsid w:val="00093ECE"/>
    <w:rsid w:val="0009589E"/>
    <w:rsid w:val="0009795B"/>
    <w:rsid w:val="000A2E4C"/>
    <w:rsid w:val="000A3921"/>
    <w:rsid w:val="000B4681"/>
    <w:rsid w:val="000B4B47"/>
    <w:rsid w:val="000B558D"/>
    <w:rsid w:val="000B57A0"/>
    <w:rsid w:val="000B6CA1"/>
    <w:rsid w:val="000D4F79"/>
    <w:rsid w:val="000D6462"/>
    <w:rsid w:val="000E17A1"/>
    <w:rsid w:val="000E6416"/>
    <w:rsid w:val="000E6ED4"/>
    <w:rsid w:val="000F2D4A"/>
    <w:rsid w:val="000F704C"/>
    <w:rsid w:val="00100BE8"/>
    <w:rsid w:val="001044D4"/>
    <w:rsid w:val="001161C0"/>
    <w:rsid w:val="00121EF7"/>
    <w:rsid w:val="00133B5B"/>
    <w:rsid w:val="00137C04"/>
    <w:rsid w:val="00145C2B"/>
    <w:rsid w:val="00145C87"/>
    <w:rsid w:val="00150F19"/>
    <w:rsid w:val="00160AC0"/>
    <w:rsid w:val="001619D0"/>
    <w:rsid w:val="001649E8"/>
    <w:rsid w:val="00166EF7"/>
    <w:rsid w:val="00167181"/>
    <w:rsid w:val="00172B42"/>
    <w:rsid w:val="001756A4"/>
    <w:rsid w:val="00180B91"/>
    <w:rsid w:val="001936F9"/>
    <w:rsid w:val="001942A9"/>
    <w:rsid w:val="00196C1F"/>
    <w:rsid w:val="001A34C9"/>
    <w:rsid w:val="001B021D"/>
    <w:rsid w:val="001B13CD"/>
    <w:rsid w:val="001B3F6D"/>
    <w:rsid w:val="001C3119"/>
    <w:rsid w:val="001C714F"/>
    <w:rsid w:val="001D0B19"/>
    <w:rsid w:val="001E46F6"/>
    <w:rsid w:val="002107E3"/>
    <w:rsid w:val="00213A15"/>
    <w:rsid w:val="00213B87"/>
    <w:rsid w:val="00215B2B"/>
    <w:rsid w:val="00225FA3"/>
    <w:rsid w:val="002310AE"/>
    <w:rsid w:val="00234AFC"/>
    <w:rsid w:val="00243BEE"/>
    <w:rsid w:val="00245B24"/>
    <w:rsid w:val="002578C6"/>
    <w:rsid w:val="00260444"/>
    <w:rsid w:val="00274AA4"/>
    <w:rsid w:val="002755BA"/>
    <w:rsid w:val="00283084"/>
    <w:rsid w:val="002922EA"/>
    <w:rsid w:val="0029387C"/>
    <w:rsid w:val="0029427F"/>
    <w:rsid w:val="002971C2"/>
    <w:rsid w:val="002A4FA6"/>
    <w:rsid w:val="002B227F"/>
    <w:rsid w:val="002B37BA"/>
    <w:rsid w:val="002B53D1"/>
    <w:rsid w:val="002B5830"/>
    <w:rsid w:val="002B654A"/>
    <w:rsid w:val="002C1664"/>
    <w:rsid w:val="002C3126"/>
    <w:rsid w:val="002C3D6E"/>
    <w:rsid w:val="002C4E4B"/>
    <w:rsid w:val="002C58DD"/>
    <w:rsid w:val="002C7114"/>
    <w:rsid w:val="002D2E01"/>
    <w:rsid w:val="002D3869"/>
    <w:rsid w:val="002D7404"/>
    <w:rsid w:val="002E5EFB"/>
    <w:rsid w:val="002F5FCD"/>
    <w:rsid w:val="002F6718"/>
    <w:rsid w:val="00306FBC"/>
    <w:rsid w:val="00310BCE"/>
    <w:rsid w:val="00313A4F"/>
    <w:rsid w:val="00313CAF"/>
    <w:rsid w:val="0031675E"/>
    <w:rsid w:val="00322A38"/>
    <w:rsid w:val="00336A1F"/>
    <w:rsid w:val="003444E0"/>
    <w:rsid w:val="00356428"/>
    <w:rsid w:val="00357574"/>
    <w:rsid w:val="00357714"/>
    <w:rsid w:val="0037119E"/>
    <w:rsid w:val="0037536E"/>
    <w:rsid w:val="003824D6"/>
    <w:rsid w:val="00382761"/>
    <w:rsid w:val="003828BF"/>
    <w:rsid w:val="0038771E"/>
    <w:rsid w:val="003A6BF5"/>
    <w:rsid w:val="003B15E1"/>
    <w:rsid w:val="003C5D55"/>
    <w:rsid w:val="003D0D39"/>
    <w:rsid w:val="003D7302"/>
    <w:rsid w:val="003E0EE6"/>
    <w:rsid w:val="003E3098"/>
    <w:rsid w:val="003E44CB"/>
    <w:rsid w:val="003E463B"/>
    <w:rsid w:val="003F0CDF"/>
    <w:rsid w:val="003F331A"/>
    <w:rsid w:val="003F6508"/>
    <w:rsid w:val="003F74BC"/>
    <w:rsid w:val="00400B4E"/>
    <w:rsid w:val="004029BD"/>
    <w:rsid w:val="004128E4"/>
    <w:rsid w:val="0041608B"/>
    <w:rsid w:val="00425388"/>
    <w:rsid w:val="00427098"/>
    <w:rsid w:val="00431E51"/>
    <w:rsid w:val="00440C52"/>
    <w:rsid w:val="0044536D"/>
    <w:rsid w:val="00455BC6"/>
    <w:rsid w:val="00457DCC"/>
    <w:rsid w:val="004612B2"/>
    <w:rsid w:val="00465B0A"/>
    <w:rsid w:val="004667F7"/>
    <w:rsid w:val="004727F4"/>
    <w:rsid w:val="00474F7F"/>
    <w:rsid w:val="004766ED"/>
    <w:rsid w:val="00477060"/>
    <w:rsid w:val="00484E3C"/>
    <w:rsid w:val="004876E8"/>
    <w:rsid w:val="0049545D"/>
    <w:rsid w:val="00495D5F"/>
    <w:rsid w:val="0049706D"/>
    <w:rsid w:val="004A2662"/>
    <w:rsid w:val="004A4D31"/>
    <w:rsid w:val="004B2EF2"/>
    <w:rsid w:val="004B3EC2"/>
    <w:rsid w:val="004B63CB"/>
    <w:rsid w:val="004C12EA"/>
    <w:rsid w:val="004D2FA3"/>
    <w:rsid w:val="004D5DD6"/>
    <w:rsid w:val="004E1025"/>
    <w:rsid w:val="004E2966"/>
    <w:rsid w:val="004E3095"/>
    <w:rsid w:val="004E42A2"/>
    <w:rsid w:val="004E57E0"/>
    <w:rsid w:val="004F081D"/>
    <w:rsid w:val="004F4473"/>
    <w:rsid w:val="004F6EE7"/>
    <w:rsid w:val="00501234"/>
    <w:rsid w:val="00503914"/>
    <w:rsid w:val="005058DD"/>
    <w:rsid w:val="00514A55"/>
    <w:rsid w:val="00521954"/>
    <w:rsid w:val="00522494"/>
    <w:rsid w:val="005260ED"/>
    <w:rsid w:val="00531CEE"/>
    <w:rsid w:val="00532E83"/>
    <w:rsid w:val="00543C84"/>
    <w:rsid w:val="00546719"/>
    <w:rsid w:val="0054784A"/>
    <w:rsid w:val="00553696"/>
    <w:rsid w:val="005549EE"/>
    <w:rsid w:val="00562AD4"/>
    <w:rsid w:val="005734C4"/>
    <w:rsid w:val="005760B8"/>
    <w:rsid w:val="0058369B"/>
    <w:rsid w:val="00584AE5"/>
    <w:rsid w:val="00585895"/>
    <w:rsid w:val="005A38FA"/>
    <w:rsid w:val="005A3C6C"/>
    <w:rsid w:val="005A3D09"/>
    <w:rsid w:val="005A40DA"/>
    <w:rsid w:val="005B27E7"/>
    <w:rsid w:val="005C42CE"/>
    <w:rsid w:val="005C5107"/>
    <w:rsid w:val="005D0C93"/>
    <w:rsid w:val="005D5D2D"/>
    <w:rsid w:val="005D6694"/>
    <w:rsid w:val="005E0F5D"/>
    <w:rsid w:val="005E2366"/>
    <w:rsid w:val="005F1263"/>
    <w:rsid w:val="005F258F"/>
    <w:rsid w:val="005F7919"/>
    <w:rsid w:val="006048C7"/>
    <w:rsid w:val="006049EC"/>
    <w:rsid w:val="006070A1"/>
    <w:rsid w:val="00607242"/>
    <w:rsid w:val="006167F5"/>
    <w:rsid w:val="00624556"/>
    <w:rsid w:val="00624CB4"/>
    <w:rsid w:val="00631C94"/>
    <w:rsid w:val="006324D6"/>
    <w:rsid w:val="006450A4"/>
    <w:rsid w:val="0064522C"/>
    <w:rsid w:val="0065287D"/>
    <w:rsid w:val="006578E2"/>
    <w:rsid w:val="00665173"/>
    <w:rsid w:val="006652C0"/>
    <w:rsid w:val="00671E72"/>
    <w:rsid w:val="00675E0E"/>
    <w:rsid w:val="006763ED"/>
    <w:rsid w:val="00687A32"/>
    <w:rsid w:val="006B7E5E"/>
    <w:rsid w:val="006C5038"/>
    <w:rsid w:val="006D0B8A"/>
    <w:rsid w:val="006D25FD"/>
    <w:rsid w:val="006D316B"/>
    <w:rsid w:val="006D390B"/>
    <w:rsid w:val="006D3CAB"/>
    <w:rsid w:val="006D4ED4"/>
    <w:rsid w:val="006D7E22"/>
    <w:rsid w:val="006F72E3"/>
    <w:rsid w:val="007142CD"/>
    <w:rsid w:val="007332A3"/>
    <w:rsid w:val="007352C2"/>
    <w:rsid w:val="007363A5"/>
    <w:rsid w:val="00741E45"/>
    <w:rsid w:val="007429B6"/>
    <w:rsid w:val="007504F6"/>
    <w:rsid w:val="007578B1"/>
    <w:rsid w:val="007637B3"/>
    <w:rsid w:val="00763D35"/>
    <w:rsid w:val="0077169F"/>
    <w:rsid w:val="00771E1B"/>
    <w:rsid w:val="007735A8"/>
    <w:rsid w:val="00780DB1"/>
    <w:rsid w:val="00782D7F"/>
    <w:rsid w:val="00784E55"/>
    <w:rsid w:val="00786624"/>
    <w:rsid w:val="00795876"/>
    <w:rsid w:val="007A2C6D"/>
    <w:rsid w:val="007B440B"/>
    <w:rsid w:val="007C355E"/>
    <w:rsid w:val="007C6CD8"/>
    <w:rsid w:val="007D3EE6"/>
    <w:rsid w:val="007D40FD"/>
    <w:rsid w:val="007D5612"/>
    <w:rsid w:val="007D6C0F"/>
    <w:rsid w:val="007E364E"/>
    <w:rsid w:val="007E3CAA"/>
    <w:rsid w:val="007E4647"/>
    <w:rsid w:val="007E578D"/>
    <w:rsid w:val="007E68F7"/>
    <w:rsid w:val="007F4C53"/>
    <w:rsid w:val="0081075A"/>
    <w:rsid w:val="008141B8"/>
    <w:rsid w:val="00817E19"/>
    <w:rsid w:val="00826009"/>
    <w:rsid w:val="008401B3"/>
    <w:rsid w:val="00840296"/>
    <w:rsid w:val="008431A7"/>
    <w:rsid w:val="00843B6B"/>
    <w:rsid w:val="00847722"/>
    <w:rsid w:val="00855DB0"/>
    <w:rsid w:val="008605D9"/>
    <w:rsid w:val="008634DC"/>
    <w:rsid w:val="00864970"/>
    <w:rsid w:val="0087123D"/>
    <w:rsid w:val="00871919"/>
    <w:rsid w:val="00883FA4"/>
    <w:rsid w:val="00887487"/>
    <w:rsid w:val="00887F20"/>
    <w:rsid w:val="0089022E"/>
    <w:rsid w:val="00890CD6"/>
    <w:rsid w:val="008B2DFE"/>
    <w:rsid w:val="008B3202"/>
    <w:rsid w:val="008B3AC1"/>
    <w:rsid w:val="008C1857"/>
    <w:rsid w:val="008C257E"/>
    <w:rsid w:val="008C705B"/>
    <w:rsid w:val="008D04BE"/>
    <w:rsid w:val="008D0C41"/>
    <w:rsid w:val="008D1A2A"/>
    <w:rsid w:val="008D2640"/>
    <w:rsid w:val="008D407B"/>
    <w:rsid w:val="008D54E2"/>
    <w:rsid w:val="008E0391"/>
    <w:rsid w:val="008E171E"/>
    <w:rsid w:val="008E6CF7"/>
    <w:rsid w:val="008F7BF4"/>
    <w:rsid w:val="009014DC"/>
    <w:rsid w:val="00904E5B"/>
    <w:rsid w:val="009058FC"/>
    <w:rsid w:val="009410CB"/>
    <w:rsid w:val="009430D5"/>
    <w:rsid w:val="00945400"/>
    <w:rsid w:val="009505A9"/>
    <w:rsid w:val="009507C0"/>
    <w:rsid w:val="0095557E"/>
    <w:rsid w:val="00956EA8"/>
    <w:rsid w:val="0095708E"/>
    <w:rsid w:val="009573A5"/>
    <w:rsid w:val="00957893"/>
    <w:rsid w:val="00974F0D"/>
    <w:rsid w:val="00981E30"/>
    <w:rsid w:val="00985AAB"/>
    <w:rsid w:val="009935D8"/>
    <w:rsid w:val="009948C8"/>
    <w:rsid w:val="009A02E4"/>
    <w:rsid w:val="009A407D"/>
    <w:rsid w:val="009B5175"/>
    <w:rsid w:val="009B6A5F"/>
    <w:rsid w:val="009B6B82"/>
    <w:rsid w:val="009C072A"/>
    <w:rsid w:val="009C62C8"/>
    <w:rsid w:val="009D0211"/>
    <w:rsid w:val="009D3C31"/>
    <w:rsid w:val="009D5672"/>
    <w:rsid w:val="009E0605"/>
    <w:rsid w:val="009E0EC9"/>
    <w:rsid w:val="009E0F62"/>
    <w:rsid w:val="009E5734"/>
    <w:rsid w:val="009E5E2C"/>
    <w:rsid w:val="009F02E0"/>
    <w:rsid w:val="009F1408"/>
    <w:rsid w:val="00A12B05"/>
    <w:rsid w:val="00A20B6F"/>
    <w:rsid w:val="00A23740"/>
    <w:rsid w:val="00A24674"/>
    <w:rsid w:val="00A43A5A"/>
    <w:rsid w:val="00A479AA"/>
    <w:rsid w:val="00A51A58"/>
    <w:rsid w:val="00A56A08"/>
    <w:rsid w:val="00A57E21"/>
    <w:rsid w:val="00A6583B"/>
    <w:rsid w:val="00A6678D"/>
    <w:rsid w:val="00A66B57"/>
    <w:rsid w:val="00A72884"/>
    <w:rsid w:val="00A82D30"/>
    <w:rsid w:val="00A86505"/>
    <w:rsid w:val="00A90D1E"/>
    <w:rsid w:val="00A945C0"/>
    <w:rsid w:val="00AA11BC"/>
    <w:rsid w:val="00AA1F5B"/>
    <w:rsid w:val="00AA4B7E"/>
    <w:rsid w:val="00AA5B66"/>
    <w:rsid w:val="00AA63D0"/>
    <w:rsid w:val="00AA691D"/>
    <w:rsid w:val="00AB1A6B"/>
    <w:rsid w:val="00AB7FA8"/>
    <w:rsid w:val="00AD36A5"/>
    <w:rsid w:val="00AD38DF"/>
    <w:rsid w:val="00AD7354"/>
    <w:rsid w:val="00AE338B"/>
    <w:rsid w:val="00AE3877"/>
    <w:rsid w:val="00AE74FC"/>
    <w:rsid w:val="00AF04A8"/>
    <w:rsid w:val="00AF12E4"/>
    <w:rsid w:val="00AF5DFC"/>
    <w:rsid w:val="00AF7049"/>
    <w:rsid w:val="00AF75BC"/>
    <w:rsid w:val="00B00944"/>
    <w:rsid w:val="00B02C4A"/>
    <w:rsid w:val="00B04788"/>
    <w:rsid w:val="00B110DC"/>
    <w:rsid w:val="00B17D3C"/>
    <w:rsid w:val="00B24139"/>
    <w:rsid w:val="00B330D9"/>
    <w:rsid w:val="00B37A21"/>
    <w:rsid w:val="00B4239B"/>
    <w:rsid w:val="00B44486"/>
    <w:rsid w:val="00B45867"/>
    <w:rsid w:val="00B5165F"/>
    <w:rsid w:val="00B60C84"/>
    <w:rsid w:val="00B6370E"/>
    <w:rsid w:val="00B727B1"/>
    <w:rsid w:val="00B75CC2"/>
    <w:rsid w:val="00B8137E"/>
    <w:rsid w:val="00B87937"/>
    <w:rsid w:val="00B92C5E"/>
    <w:rsid w:val="00BA1138"/>
    <w:rsid w:val="00BA1E20"/>
    <w:rsid w:val="00BA1E83"/>
    <w:rsid w:val="00BA641E"/>
    <w:rsid w:val="00BB7C1F"/>
    <w:rsid w:val="00BC4694"/>
    <w:rsid w:val="00BC4941"/>
    <w:rsid w:val="00BC760D"/>
    <w:rsid w:val="00BD0B38"/>
    <w:rsid w:val="00BD208F"/>
    <w:rsid w:val="00BD7EE2"/>
    <w:rsid w:val="00BE2CFB"/>
    <w:rsid w:val="00BE3887"/>
    <w:rsid w:val="00BE44A1"/>
    <w:rsid w:val="00BE4673"/>
    <w:rsid w:val="00BE501A"/>
    <w:rsid w:val="00BE6C3E"/>
    <w:rsid w:val="00BF4ED8"/>
    <w:rsid w:val="00C01945"/>
    <w:rsid w:val="00C037C4"/>
    <w:rsid w:val="00C07A2E"/>
    <w:rsid w:val="00C07BA1"/>
    <w:rsid w:val="00C21A4F"/>
    <w:rsid w:val="00C22D97"/>
    <w:rsid w:val="00C2689F"/>
    <w:rsid w:val="00C27798"/>
    <w:rsid w:val="00C328DE"/>
    <w:rsid w:val="00C32EE2"/>
    <w:rsid w:val="00C37555"/>
    <w:rsid w:val="00C40F5D"/>
    <w:rsid w:val="00C4390E"/>
    <w:rsid w:val="00C4594F"/>
    <w:rsid w:val="00C54A75"/>
    <w:rsid w:val="00C70705"/>
    <w:rsid w:val="00C7212B"/>
    <w:rsid w:val="00C80573"/>
    <w:rsid w:val="00C81D98"/>
    <w:rsid w:val="00C8349B"/>
    <w:rsid w:val="00C83716"/>
    <w:rsid w:val="00C85FD8"/>
    <w:rsid w:val="00C95B88"/>
    <w:rsid w:val="00C97B33"/>
    <w:rsid w:val="00CA6FD9"/>
    <w:rsid w:val="00CB52BB"/>
    <w:rsid w:val="00CB5AAC"/>
    <w:rsid w:val="00CC1DEB"/>
    <w:rsid w:val="00CC2C7A"/>
    <w:rsid w:val="00CC4F2A"/>
    <w:rsid w:val="00CD0957"/>
    <w:rsid w:val="00CD0C4C"/>
    <w:rsid w:val="00CD2BDA"/>
    <w:rsid w:val="00CD383A"/>
    <w:rsid w:val="00CD5242"/>
    <w:rsid w:val="00CD7170"/>
    <w:rsid w:val="00CF0069"/>
    <w:rsid w:val="00D066EA"/>
    <w:rsid w:val="00D129E2"/>
    <w:rsid w:val="00D17DD3"/>
    <w:rsid w:val="00D20586"/>
    <w:rsid w:val="00D25D7C"/>
    <w:rsid w:val="00D27086"/>
    <w:rsid w:val="00D3544E"/>
    <w:rsid w:val="00D36412"/>
    <w:rsid w:val="00D4036D"/>
    <w:rsid w:val="00D42EC2"/>
    <w:rsid w:val="00D44A20"/>
    <w:rsid w:val="00D474AB"/>
    <w:rsid w:val="00D51E3A"/>
    <w:rsid w:val="00D54033"/>
    <w:rsid w:val="00D61345"/>
    <w:rsid w:val="00D64242"/>
    <w:rsid w:val="00D67ADD"/>
    <w:rsid w:val="00D67BB1"/>
    <w:rsid w:val="00D70C93"/>
    <w:rsid w:val="00D732AC"/>
    <w:rsid w:val="00D73611"/>
    <w:rsid w:val="00D756E0"/>
    <w:rsid w:val="00D862E6"/>
    <w:rsid w:val="00D867D0"/>
    <w:rsid w:val="00D87F0D"/>
    <w:rsid w:val="00D90489"/>
    <w:rsid w:val="00D92671"/>
    <w:rsid w:val="00D93D82"/>
    <w:rsid w:val="00DB3E66"/>
    <w:rsid w:val="00DC1B53"/>
    <w:rsid w:val="00DC3D7A"/>
    <w:rsid w:val="00DD0EFC"/>
    <w:rsid w:val="00DD1FB7"/>
    <w:rsid w:val="00DD5880"/>
    <w:rsid w:val="00DE05A2"/>
    <w:rsid w:val="00DE2598"/>
    <w:rsid w:val="00DE2E12"/>
    <w:rsid w:val="00DE4F1A"/>
    <w:rsid w:val="00DF06D8"/>
    <w:rsid w:val="00DF100E"/>
    <w:rsid w:val="00E005AB"/>
    <w:rsid w:val="00E044E2"/>
    <w:rsid w:val="00E1304E"/>
    <w:rsid w:val="00E13A98"/>
    <w:rsid w:val="00E14ED7"/>
    <w:rsid w:val="00E2045B"/>
    <w:rsid w:val="00E40753"/>
    <w:rsid w:val="00E47C98"/>
    <w:rsid w:val="00E50353"/>
    <w:rsid w:val="00E519D8"/>
    <w:rsid w:val="00E53571"/>
    <w:rsid w:val="00E57868"/>
    <w:rsid w:val="00E6105A"/>
    <w:rsid w:val="00E61F74"/>
    <w:rsid w:val="00E7027D"/>
    <w:rsid w:val="00E73C55"/>
    <w:rsid w:val="00E744FA"/>
    <w:rsid w:val="00E83BB4"/>
    <w:rsid w:val="00E84078"/>
    <w:rsid w:val="00EA2B40"/>
    <w:rsid w:val="00EB52BF"/>
    <w:rsid w:val="00EB5B7D"/>
    <w:rsid w:val="00EB7333"/>
    <w:rsid w:val="00EC0320"/>
    <w:rsid w:val="00EC438E"/>
    <w:rsid w:val="00ED1F47"/>
    <w:rsid w:val="00ED1FE1"/>
    <w:rsid w:val="00ED4A08"/>
    <w:rsid w:val="00EE3320"/>
    <w:rsid w:val="00EF223F"/>
    <w:rsid w:val="00EF63D5"/>
    <w:rsid w:val="00F01446"/>
    <w:rsid w:val="00F03697"/>
    <w:rsid w:val="00F12CC7"/>
    <w:rsid w:val="00F14147"/>
    <w:rsid w:val="00F2234B"/>
    <w:rsid w:val="00F300CA"/>
    <w:rsid w:val="00F35ACA"/>
    <w:rsid w:val="00F362D7"/>
    <w:rsid w:val="00F43406"/>
    <w:rsid w:val="00F4505B"/>
    <w:rsid w:val="00F466F8"/>
    <w:rsid w:val="00F47D62"/>
    <w:rsid w:val="00F54453"/>
    <w:rsid w:val="00F54B1E"/>
    <w:rsid w:val="00F63B3A"/>
    <w:rsid w:val="00F64AA8"/>
    <w:rsid w:val="00F71869"/>
    <w:rsid w:val="00F72231"/>
    <w:rsid w:val="00F80BBD"/>
    <w:rsid w:val="00F86D30"/>
    <w:rsid w:val="00F93365"/>
    <w:rsid w:val="00FA0F6E"/>
    <w:rsid w:val="00FA287B"/>
    <w:rsid w:val="00FA468D"/>
    <w:rsid w:val="00FA620D"/>
    <w:rsid w:val="00FB0762"/>
    <w:rsid w:val="00FB1F80"/>
    <w:rsid w:val="00FB2D9C"/>
    <w:rsid w:val="00FB7899"/>
    <w:rsid w:val="00FC1EAF"/>
    <w:rsid w:val="00FC2B42"/>
    <w:rsid w:val="00FC5841"/>
    <w:rsid w:val="00FD0EE8"/>
    <w:rsid w:val="00FD31F1"/>
    <w:rsid w:val="00FE1764"/>
    <w:rsid w:val="00FE7F54"/>
    <w:rsid w:val="00FF7C73"/>
    <w:rsid w:val="011813C4"/>
    <w:rsid w:val="0169A2DC"/>
    <w:rsid w:val="03587DD5"/>
    <w:rsid w:val="0496B8BC"/>
    <w:rsid w:val="08A0E2D3"/>
    <w:rsid w:val="0A58B762"/>
    <w:rsid w:val="0A6B4B6A"/>
    <w:rsid w:val="10302970"/>
    <w:rsid w:val="11DAF09A"/>
    <w:rsid w:val="140BBF84"/>
    <w:rsid w:val="1459E2AD"/>
    <w:rsid w:val="163F5E9B"/>
    <w:rsid w:val="167DBB44"/>
    <w:rsid w:val="19E2E8CB"/>
    <w:rsid w:val="1CC4CA48"/>
    <w:rsid w:val="1D1A3871"/>
    <w:rsid w:val="1DE888F1"/>
    <w:rsid w:val="1DF2C700"/>
    <w:rsid w:val="1F003F7D"/>
    <w:rsid w:val="1F696E96"/>
    <w:rsid w:val="1FBE4451"/>
    <w:rsid w:val="233B4F96"/>
    <w:rsid w:val="2387B6B8"/>
    <w:rsid w:val="24C2CE02"/>
    <w:rsid w:val="26C453B1"/>
    <w:rsid w:val="27C347F6"/>
    <w:rsid w:val="28602412"/>
    <w:rsid w:val="29C0B9CF"/>
    <w:rsid w:val="2E3991B9"/>
    <w:rsid w:val="2ED784F2"/>
    <w:rsid w:val="301664F7"/>
    <w:rsid w:val="31B7AD13"/>
    <w:rsid w:val="3234AED7"/>
    <w:rsid w:val="32FB650D"/>
    <w:rsid w:val="334CF088"/>
    <w:rsid w:val="336F4B7E"/>
    <w:rsid w:val="346DB0FD"/>
    <w:rsid w:val="35257EBD"/>
    <w:rsid w:val="352D9E19"/>
    <w:rsid w:val="367D472B"/>
    <w:rsid w:val="37B40811"/>
    <w:rsid w:val="39118E2A"/>
    <w:rsid w:val="3ACC8BEC"/>
    <w:rsid w:val="3AD38A76"/>
    <w:rsid w:val="3E1A6DD1"/>
    <w:rsid w:val="409BDF5E"/>
    <w:rsid w:val="40F003DA"/>
    <w:rsid w:val="415C8608"/>
    <w:rsid w:val="4389EBB1"/>
    <w:rsid w:val="438DF1B9"/>
    <w:rsid w:val="4594B0F9"/>
    <w:rsid w:val="46D7418B"/>
    <w:rsid w:val="4814E409"/>
    <w:rsid w:val="48348E84"/>
    <w:rsid w:val="48C71775"/>
    <w:rsid w:val="4A575D9E"/>
    <w:rsid w:val="4BA5B5FE"/>
    <w:rsid w:val="4C8D9DFD"/>
    <w:rsid w:val="4F81E4A1"/>
    <w:rsid w:val="50D649D6"/>
    <w:rsid w:val="54C6916C"/>
    <w:rsid w:val="55805CFB"/>
    <w:rsid w:val="57125CC1"/>
    <w:rsid w:val="58739161"/>
    <w:rsid w:val="59E99172"/>
    <w:rsid w:val="5B73CD61"/>
    <w:rsid w:val="5CF7FB4F"/>
    <w:rsid w:val="5E02A27E"/>
    <w:rsid w:val="60AFB727"/>
    <w:rsid w:val="62290517"/>
    <w:rsid w:val="6371515F"/>
    <w:rsid w:val="63E0CF7C"/>
    <w:rsid w:val="6535225A"/>
    <w:rsid w:val="66E007C0"/>
    <w:rsid w:val="66EF3DA4"/>
    <w:rsid w:val="6910FBD1"/>
    <w:rsid w:val="6BF87DF0"/>
    <w:rsid w:val="6CEC60BD"/>
    <w:rsid w:val="6D086A8D"/>
    <w:rsid w:val="6DA40DCA"/>
    <w:rsid w:val="6E42BAE3"/>
    <w:rsid w:val="71197106"/>
    <w:rsid w:val="72AE74E6"/>
    <w:rsid w:val="72ED4893"/>
    <w:rsid w:val="73102466"/>
    <w:rsid w:val="732B91A9"/>
    <w:rsid w:val="74285FDD"/>
    <w:rsid w:val="776F3844"/>
    <w:rsid w:val="77A960F6"/>
    <w:rsid w:val="783D9EAB"/>
    <w:rsid w:val="785D06EA"/>
    <w:rsid w:val="79BC1D14"/>
    <w:rsid w:val="7BA3D4D0"/>
    <w:rsid w:val="7BE02B2F"/>
    <w:rsid w:val="7C096AD1"/>
    <w:rsid w:val="7E842393"/>
    <w:rsid w:val="7EBD2D42"/>
    <w:rsid w:val="7F5BC287"/>
    <w:rsid w:val="7FB97F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EBB879"/>
  <w15:chartTrackingRefBased/>
  <w15:docId w15:val="{0A85D03E-3E60-4EB8-846E-CE7470E3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2EA"/>
    <w:rPr>
      <w:rFonts w:ascii="Graphik" w:hAnsi="Graphik"/>
      <w:sz w:val="20"/>
    </w:rPr>
  </w:style>
  <w:style w:type="paragraph" w:styleId="Heading1">
    <w:name w:val="heading 1"/>
    <w:basedOn w:val="Normal"/>
    <w:next w:val="Normal"/>
    <w:link w:val="Heading1Char"/>
    <w:autoRedefine/>
    <w:qFormat/>
    <w:rsid w:val="00D67ADD"/>
    <w:pPr>
      <w:keepNext/>
      <w:keepLines/>
      <w:tabs>
        <w:tab w:val="left" w:pos="1134"/>
      </w:tabs>
      <w:spacing w:before="240" w:after="120"/>
      <w:outlineLvl w:val="0"/>
    </w:pPr>
    <w:rPr>
      <w:rFonts w:eastAsia="Times New Roman" w:cs="Times New Roman"/>
      <w:b/>
      <w:sz w:val="32"/>
      <w:szCs w:val="20"/>
      <w:lang w:val="en-GB"/>
    </w:rPr>
  </w:style>
  <w:style w:type="paragraph" w:styleId="Heading2">
    <w:name w:val="heading 2"/>
    <w:basedOn w:val="Normal"/>
    <w:next w:val="Normal"/>
    <w:link w:val="Heading2Char"/>
    <w:autoRedefine/>
    <w:qFormat/>
    <w:rsid w:val="00BD7EE2"/>
    <w:pPr>
      <w:keepNext/>
      <w:suppressLineNumbers/>
      <w:shd w:val="clear" w:color="auto" w:fill="FFFFFF"/>
      <w:spacing w:before="240" w:after="240"/>
      <w:outlineLvl w:val="1"/>
    </w:pPr>
    <w:rPr>
      <w:rFonts w:eastAsia="Times New Roman" w:cs="Times New Roman"/>
      <w:b/>
      <w:color w:val="7030A0"/>
      <w:sz w:val="24"/>
      <w:szCs w:val="20"/>
    </w:rPr>
  </w:style>
  <w:style w:type="paragraph" w:styleId="Heading3">
    <w:name w:val="heading 3"/>
    <w:basedOn w:val="ListParagraph"/>
    <w:next w:val="Normal"/>
    <w:link w:val="Heading3Char"/>
    <w:autoRedefine/>
    <w:qFormat/>
    <w:rsid w:val="001C3119"/>
    <w:pPr>
      <w:spacing w:before="240"/>
      <w:ind w:left="0"/>
      <w:contextualSpacing w:val="0"/>
      <w:outlineLvl w:val="2"/>
    </w:pPr>
    <w:rPr>
      <w:rFonts w:eastAsia="Times New Roman" w:cstheme="minorHAnsi"/>
      <w:b/>
      <w:bCs/>
      <w:color w:val="000000"/>
    </w:rPr>
  </w:style>
  <w:style w:type="paragraph" w:styleId="Heading4">
    <w:name w:val="heading 4"/>
    <w:basedOn w:val="Normal"/>
    <w:next w:val="Normal"/>
    <w:link w:val="Heading4Char"/>
    <w:autoRedefine/>
    <w:qFormat/>
    <w:rsid w:val="006048C7"/>
    <w:pPr>
      <w:keepNext/>
      <w:numPr>
        <w:ilvl w:val="3"/>
        <w:numId w:val="2"/>
      </w:numPr>
      <w:spacing w:before="240" w:after="240"/>
      <w:outlineLvl w:val="3"/>
    </w:pPr>
    <w:rPr>
      <w:rFonts w:eastAsia="Times New Roman" w:cs="Times New Roman"/>
      <w:szCs w:val="20"/>
      <w:lang w:val="en-GB"/>
    </w:rPr>
  </w:style>
  <w:style w:type="paragraph" w:styleId="Heading5">
    <w:name w:val="heading 5"/>
    <w:basedOn w:val="Normal"/>
    <w:next w:val="NormalIndent"/>
    <w:link w:val="Heading5Char"/>
    <w:autoRedefine/>
    <w:qFormat/>
    <w:rsid w:val="00E005AB"/>
    <w:pPr>
      <w:numPr>
        <w:ilvl w:val="4"/>
        <w:numId w:val="2"/>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2"/>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2"/>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2"/>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2"/>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7ADD"/>
    <w:rPr>
      <w:rFonts w:ascii="Graphik" w:eastAsia="Times New Roman" w:hAnsi="Graphik" w:cs="Times New Roman"/>
      <w:b/>
      <w:sz w:val="32"/>
      <w:szCs w:val="20"/>
      <w:lang w:val="en-GB"/>
    </w:rPr>
  </w:style>
  <w:style w:type="character" w:customStyle="1" w:styleId="Heading2Char">
    <w:name w:val="Heading 2 Char"/>
    <w:basedOn w:val="DefaultParagraphFont"/>
    <w:link w:val="Heading2"/>
    <w:rsid w:val="00BD7EE2"/>
    <w:rPr>
      <w:rFonts w:ascii="Graphik" w:eastAsia="Times New Roman" w:hAnsi="Graphik" w:cs="Times New Roman"/>
      <w:b/>
      <w:color w:val="7030A0"/>
      <w:szCs w:val="20"/>
      <w:shd w:val="clear" w:color="auto" w:fill="FFFFFF"/>
    </w:rPr>
  </w:style>
  <w:style w:type="character" w:customStyle="1" w:styleId="Heading3Char">
    <w:name w:val="Heading 3 Char"/>
    <w:basedOn w:val="DefaultParagraphFont"/>
    <w:link w:val="Heading3"/>
    <w:rsid w:val="001C3119"/>
    <w:rPr>
      <w:rFonts w:ascii="Graphik" w:eastAsia="Times New Roman" w:hAnsi="Graphik" w:cstheme="minorHAnsi"/>
      <w:b/>
      <w:bCs/>
      <w:color w:val="000000"/>
      <w:sz w:val="20"/>
    </w:rPr>
  </w:style>
  <w:style w:type="character" w:customStyle="1" w:styleId="Heading4Char">
    <w:name w:val="Heading 4 Char"/>
    <w:basedOn w:val="DefaultParagraphFont"/>
    <w:link w:val="Heading4"/>
    <w:rsid w:val="006048C7"/>
    <w:rPr>
      <w:rFonts w:ascii="Graphik" w:eastAsia="Times New Roman" w:hAnsi="Graphik" w:cs="Times New Roman"/>
      <w:sz w:val="20"/>
      <w:szCs w:val="20"/>
      <w:lang w:val="en-GB"/>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rsid w:val="008C1857"/>
    <w:rPr>
      <w:rFonts w:cs="Times New Roman"/>
      <w:color w:val="0000FF"/>
      <w:u w:val="single"/>
    </w:rPr>
  </w:style>
  <w:style w:type="paragraph" w:styleId="TOC1">
    <w:name w:val="toc 1"/>
    <w:basedOn w:val="Normal"/>
    <w:next w:val="Normal"/>
    <w:uiPriority w:val="39"/>
    <w:rsid w:val="008C1857"/>
    <w:pPr>
      <w:spacing w:after="120"/>
    </w:pPr>
    <w:rPr>
      <w:rFonts w:ascii="Arial" w:eastAsia="Times New Roman" w:hAnsi="Arial" w:cs="Times New Roman"/>
      <w:b/>
      <w:szCs w:val="22"/>
    </w:rPr>
  </w:style>
  <w:style w:type="paragraph" w:styleId="TOC2">
    <w:name w:val="toc 2"/>
    <w:basedOn w:val="Normal"/>
    <w:next w:val="Normal"/>
    <w:autoRedefine/>
    <w:uiPriority w:val="39"/>
    <w:rsid w:val="008C1857"/>
    <w:pPr>
      <w:spacing w:after="120"/>
    </w:pPr>
    <w:rPr>
      <w:rFonts w:ascii="Arial" w:eastAsia="Times New Roman" w:hAnsi="Arial" w:cs="Times New Roman"/>
      <w:szCs w:val="22"/>
    </w:rPr>
  </w:style>
  <w:style w:type="paragraph" w:styleId="TOC3">
    <w:name w:val="toc 3"/>
    <w:basedOn w:val="Normal"/>
    <w:next w:val="Normal"/>
    <w:autoRedefine/>
    <w:uiPriority w:val="39"/>
    <w:rsid w:val="008C1857"/>
    <w:pPr>
      <w:spacing w:after="120"/>
      <w:ind w:left="482"/>
    </w:pPr>
    <w:rPr>
      <w:rFonts w:ascii="Arial" w:eastAsia="Times New Roman" w:hAnsi="Arial" w:cs="Times New Roman"/>
      <w:szCs w:val="22"/>
    </w:r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spacing w:after="60"/>
    </w:pPr>
    <w:rPr>
      <w:rFonts w:ascii="Arial" w:eastAsia="Times New Roman" w:hAnsi="Arial" w:cs="Times New Roman"/>
      <w:szCs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3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pPr>
      <w:jc w:val="both"/>
    </w:pPr>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2922EA"/>
    <w:pPr>
      <w:numPr>
        <w:numId w:val="7"/>
      </w:numPr>
    </w:pPr>
    <w:rPr>
      <w:rFonts w:ascii="Graphik" w:hAnsi="Graphik" w:cs="Arial"/>
      <w:b/>
      <w:bCs/>
      <w:u w:val="single"/>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457DCC"/>
    <w:pPr>
      <w:spacing w:before="120" w:after="120"/>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2922EA"/>
    <w:rPr>
      <w:rFonts w:ascii="Graphik" w:eastAsia="Times New Roman" w:hAnsi="Graphik" w:cs="Arial"/>
      <w:b/>
      <w:bCs/>
      <w:sz w:val="20"/>
      <w:szCs w:val="22"/>
      <w:u w:val="single"/>
      <w:lang w:val="de-DE"/>
    </w:rPr>
  </w:style>
  <w:style w:type="paragraph" w:customStyle="1" w:styleId="UOLIST3">
    <w:name w:val="UO LIST 3"/>
    <w:basedOn w:val="ListBullet3"/>
    <w:link w:val="UOLIST3Char"/>
    <w:autoRedefine/>
    <w:qFormat/>
    <w:rsid w:val="00AF12E4"/>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sz w:val="20"/>
    </w:rPr>
  </w:style>
  <w:style w:type="character" w:customStyle="1" w:styleId="UOLIST2Char">
    <w:name w:val="UO LIST 2 Char"/>
    <w:basedOn w:val="ListBullet2Char"/>
    <w:link w:val="UOLIST2"/>
    <w:rsid w:val="00457DCC"/>
    <w:rPr>
      <w:rFonts w:ascii="Graphik" w:eastAsia="Cambria" w:hAnsi="Graphik" w:cs="Arial"/>
      <w:sz w:val="20"/>
      <w:lang w:val="de-DE"/>
    </w:rPr>
  </w:style>
  <w:style w:type="paragraph" w:customStyle="1" w:styleId="NOLIST1">
    <w:name w:val="NO LIST 1"/>
    <w:basedOn w:val="Normal"/>
    <w:link w:val="NOLIST1Char"/>
    <w:autoRedefine/>
    <w:qFormat/>
    <w:rsid w:val="0029387C"/>
    <w:pPr>
      <w:numPr>
        <w:numId w:val="5"/>
      </w:numPr>
      <w:spacing w:after="12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sz w:val="20"/>
    </w:rPr>
  </w:style>
  <w:style w:type="character" w:customStyle="1" w:styleId="UOLIST3Char">
    <w:name w:val="UO LIST 3 Char"/>
    <w:basedOn w:val="ListBullet3Char"/>
    <w:link w:val="UOLIST3"/>
    <w:rsid w:val="00AF12E4"/>
    <w:rPr>
      <w:rFonts w:ascii="Graphik" w:eastAsia="Cambria" w:hAnsi="Graphik" w:cs="Arial"/>
      <w:sz w:val="20"/>
      <w:lang w:val="de-DE"/>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29387C"/>
    <w:rPr>
      <w:rFonts w:ascii="Graphik" w:hAnsi="Graphik" w:cs="Arial"/>
      <w:sz w:val="20"/>
    </w:rPr>
  </w:style>
  <w:style w:type="paragraph" w:styleId="Header">
    <w:name w:val="header"/>
    <w:basedOn w:val="Normal"/>
    <w:link w:val="HeaderChar"/>
    <w:uiPriority w:val="99"/>
    <w:unhideWhenUsed/>
    <w:rsid w:val="00F47D62"/>
    <w:pPr>
      <w:tabs>
        <w:tab w:val="center" w:pos="4680"/>
        <w:tab w:val="right" w:pos="9360"/>
      </w:tabs>
    </w:pPr>
  </w:style>
  <w:style w:type="character" w:customStyle="1" w:styleId="NOLIST2Char">
    <w:name w:val="NO LIST 2 Char"/>
    <w:basedOn w:val="NOLIST1Char"/>
    <w:link w:val="NOLIST2"/>
    <w:rsid w:val="0029387C"/>
    <w:rPr>
      <w:rFonts w:ascii="Graphik" w:hAnsi="Graphik" w:cs="Arial"/>
      <w:sz w:val="20"/>
    </w:rPr>
  </w:style>
  <w:style w:type="character" w:customStyle="1" w:styleId="HeaderChar">
    <w:name w:val="Header Char"/>
    <w:basedOn w:val="DefaultParagraphFont"/>
    <w:link w:val="Header"/>
    <w:uiPriority w:val="99"/>
    <w:rsid w:val="00F47D62"/>
  </w:style>
  <w:style w:type="paragraph" w:styleId="Footer">
    <w:name w:val="footer"/>
    <w:basedOn w:val="Normal"/>
    <w:link w:val="FooterChar"/>
    <w:uiPriority w:val="99"/>
    <w:unhideWhenUsed/>
    <w:rsid w:val="00F47D62"/>
    <w:pPr>
      <w:tabs>
        <w:tab w:val="center" w:pos="4680"/>
        <w:tab w:val="right" w:pos="9360"/>
      </w:tabs>
    </w:pPr>
  </w:style>
  <w:style w:type="character" w:customStyle="1" w:styleId="FooterChar">
    <w:name w:val="Footer Char"/>
    <w:basedOn w:val="DefaultParagraphFont"/>
    <w:link w:val="Footer"/>
    <w:uiPriority w:val="99"/>
    <w:rsid w:val="00F47D62"/>
  </w:style>
  <w:style w:type="paragraph" w:styleId="TOCHeading">
    <w:name w:val="TOC Heading"/>
    <w:basedOn w:val="Heading1"/>
    <w:next w:val="Normal"/>
    <w:autoRedefine/>
    <w:uiPriority w:val="39"/>
    <w:unhideWhenUsed/>
    <w:qFormat/>
    <w:rsid w:val="00D73611"/>
    <w:pPr>
      <w:tabs>
        <w:tab w:val="clear" w:pos="1134"/>
      </w:tabs>
      <w:spacing w:after="0" w:line="259" w:lineRule="auto"/>
      <w:outlineLvl w:val="9"/>
    </w:pPr>
    <w:rPr>
      <w:rFonts w:eastAsiaTheme="majorEastAsia" w:cstheme="majorBidi"/>
      <w:szCs w:val="32"/>
      <w:lang w:val="en-US"/>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rPr>
  </w:style>
  <w:style w:type="character" w:styleId="UnresolvedMention">
    <w:name w:val="Unresolved Mention"/>
    <w:basedOn w:val="DefaultParagraphFont"/>
    <w:uiPriority w:val="99"/>
    <w:unhideWhenUsed/>
    <w:rsid w:val="00531CEE"/>
    <w:rPr>
      <w:color w:val="605E5C"/>
      <w:shd w:val="clear" w:color="auto" w:fill="E1DFDD"/>
    </w:rPr>
  </w:style>
  <w:style w:type="paragraph" w:styleId="ListParagraph">
    <w:name w:val="List Paragraph"/>
    <w:basedOn w:val="Normal"/>
    <w:uiPriority w:val="34"/>
    <w:qFormat/>
    <w:rsid w:val="005F7919"/>
    <w:pPr>
      <w:spacing w:before="120" w:after="120"/>
      <w:ind w:left="720"/>
      <w:contextualSpacing/>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E2045B"/>
    <w:rPr>
      <w:sz w:val="16"/>
      <w:szCs w:val="16"/>
    </w:rPr>
  </w:style>
  <w:style w:type="paragraph" w:styleId="CommentText">
    <w:name w:val="annotation text"/>
    <w:basedOn w:val="Normal"/>
    <w:link w:val="CommentTextChar"/>
    <w:uiPriority w:val="99"/>
    <w:semiHidden/>
    <w:unhideWhenUsed/>
    <w:rsid w:val="00E2045B"/>
    <w:rPr>
      <w:szCs w:val="20"/>
    </w:rPr>
  </w:style>
  <w:style w:type="character" w:customStyle="1" w:styleId="CommentTextChar">
    <w:name w:val="Comment Text Char"/>
    <w:basedOn w:val="DefaultParagraphFont"/>
    <w:link w:val="CommentText"/>
    <w:uiPriority w:val="99"/>
    <w:semiHidden/>
    <w:rsid w:val="00E2045B"/>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E2045B"/>
    <w:rPr>
      <w:b/>
      <w:bCs/>
    </w:rPr>
  </w:style>
  <w:style w:type="character" w:customStyle="1" w:styleId="CommentSubjectChar">
    <w:name w:val="Comment Subject Char"/>
    <w:basedOn w:val="CommentTextChar"/>
    <w:link w:val="CommentSubject"/>
    <w:uiPriority w:val="99"/>
    <w:semiHidden/>
    <w:rsid w:val="00E2045B"/>
    <w:rPr>
      <w:rFonts w:ascii="Graphik" w:hAnsi="Graphik"/>
      <w:b/>
      <w:bCs/>
      <w:sz w:val="20"/>
      <w:szCs w:val="20"/>
    </w:rPr>
  </w:style>
  <w:style w:type="character" w:styleId="Mention">
    <w:name w:val="Mention"/>
    <w:basedOn w:val="DefaultParagraphFont"/>
    <w:uiPriority w:val="99"/>
    <w:unhideWhenUsed/>
    <w:rsid w:val="008E6CF7"/>
    <w:rPr>
      <w:color w:val="2B579A"/>
      <w:shd w:val="clear" w:color="auto" w:fill="E1DFDD"/>
    </w:rPr>
  </w:style>
  <w:style w:type="paragraph" w:styleId="Revision">
    <w:name w:val="Revision"/>
    <w:hidden/>
    <w:uiPriority w:val="99"/>
    <w:semiHidden/>
    <w:rsid w:val="003F74BC"/>
    <w:rPr>
      <w:rFonts w:ascii="Graphik" w:hAnsi="Graphik"/>
      <w:sz w:val="20"/>
    </w:rPr>
  </w:style>
  <w:style w:type="paragraph" w:styleId="NormalWeb">
    <w:name w:val="Normal (Web)"/>
    <w:basedOn w:val="Normal"/>
    <w:uiPriority w:val="99"/>
    <w:semiHidden/>
    <w:unhideWhenUsed/>
    <w:rsid w:val="00245B24"/>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D862E6"/>
  </w:style>
  <w:style w:type="character" w:customStyle="1" w:styleId="eop">
    <w:name w:val="eop"/>
    <w:basedOn w:val="DefaultParagraphFont"/>
    <w:rsid w:val="00D86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18861">
      <w:bodyDiv w:val="1"/>
      <w:marLeft w:val="0"/>
      <w:marRight w:val="0"/>
      <w:marTop w:val="0"/>
      <w:marBottom w:val="0"/>
      <w:divBdr>
        <w:top w:val="none" w:sz="0" w:space="0" w:color="auto"/>
        <w:left w:val="none" w:sz="0" w:space="0" w:color="auto"/>
        <w:bottom w:val="none" w:sz="0" w:space="0" w:color="auto"/>
        <w:right w:val="none" w:sz="0" w:space="0" w:color="auto"/>
      </w:divBdr>
      <w:divsChild>
        <w:div w:id="1185629944">
          <w:marLeft w:val="274"/>
          <w:marRight w:val="0"/>
          <w:marTop w:val="0"/>
          <w:marBottom w:val="0"/>
          <w:divBdr>
            <w:top w:val="none" w:sz="0" w:space="0" w:color="auto"/>
            <w:left w:val="none" w:sz="0" w:space="0" w:color="auto"/>
            <w:bottom w:val="none" w:sz="0" w:space="0" w:color="auto"/>
            <w:right w:val="none" w:sz="0" w:space="0" w:color="auto"/>
          </w:divBdr>
        </w:div>
        <w:div w:id="948853013">
          <w:marLeft w:val="274"/>
          <w:marRight w:val="0"/>
          <w:marTop w:val="0"/>
          <w:marBottom w:val="0"/>
          <w:divBdr>
            <w:top w:val="none" w:sz="0" w:space="0" w:color="auto"/>
            <w:left w:val="none" w:sz="0" w:space="0" w:color="auto"/>
            <w:bottom w:val="none" w:sz="0" w:space="0" w:color="auto"/>
            <w:right w:val="none" w:sz="0" w:space="0" w:color="auto"/>
          </w:divBdr>
        </w:div>
      </w:divsChild>
    </w:div>
    <w:div w:id="503596253">
      <w:bodyDiv w:val="1"/>
      <w:marLeft w:val="0"/>
      <w:marRight w:val="0"/>
      <w:marTop w:val="0"/>
      <w:marBottom w:val="0"/>
      <w:divBdr>
        <w:top w:val="none" w:sz="0" w:space="0" w:color="auto"/>
        <w:left w:val="none" w:sz="0" w:space="0" w:color="auto"/>
        <w:bottom w:val="none" w:sz="0" w:space="0" w:color="auto"/>
        <w:right w:val="none" w:sz="0" w:space="0" w:color="auto"/>
      </w:divBdr>
    </w:div>
    <w:div w:id="602493589">
      <w:bodyDiv w:val="1"/>
      <w:marLeft w:val="0"/>
      <w:marRight w:val="0"/>
      <w:marTop w:val="0"/>
      <w:marBottom w:val="0"/>
      <w:divBdr>
        <w:top w:val="none" w:sz="0" w:space="0" w:color="auto"/>
        <w:left w:val="none" w:sz="0" w:space="0" w:color="auto"/>
        <w:bottom w:val="none" w:sz="0" w:space="0" w:color="auto"/>
        <w:right w:val="none" w:sz="0" w:space="0" w:color="auto"/>
      </w:divBdr>
      <w:divsChild>
        <w:div w:id="1784374120">
          <w:marLeft w:val="360"/>
          <w:marRight w:val="0"/>
          <w:marTop w:val="0"/>
          <w:marBottom w:val="0"/>
          <w:divBdr>
            <w:top w:val="none" w:sz="0" w:space="0" w:color="auto"/>
            <w:left w:val="none" w:sz="0" w:space="0" w:color="auto"/>
            <w:bottom w:val="none" w:sz="0" w:space="0" w:color="auto"/>
            <w:right w:val="none" w:sz="0" w:space="0" w:color="auto"/>
          </w:divBdr>
        </w:div>
      </w:divsChild>
    </w:div>
    <w:div w:id="649754798">
      <w:bodyDiv w:val="1"/>
      <w:marLeft w:val="0"/>
      <w:marRight w:val="0"/>
      <w:marTop w:val="0"/>
      <w:marBottom w:val="0"/>
      <w:divBdr>
        <w:top w:val="none" w:sz="0" w:space="0" w:color="auto"/>
        <w:left w:val="none" w:sz="0" w:space="0" w:color="auto"/>
        <w:bottom w:val="none" w:sz="0" w:space="0" w:color="auto"/>
        <w:right w:val="none" w:sz="0" w:space="0" w:color="auto"/>
      </w:divBdr>
      <w:divsChild>
        <w:div w:id="978077288">
          <w:marLeft w:val="274"/>
          <w:marRight w:val="0"/>
          <w:marTop w:val="0"/>
          <w:marBottom w:val="0"/>
          <w:divBdr>
            <w:top w:val="none" w:sz="0" w:space="0" w:color="auto"/>
            <w:left w:val="none" w:sz="0" w:space="0" w:color="auto"/>
            <w:bottom w:val="none" w:sz="0" w:space="0" w:color="auto"/>
            <w:right w:val="none" w:sz="0" w:space="0" w:color="auto"/>
          </w:divBdr>
        </w:div>
      </w:divsChild>
    </w:div>
    <w:div w:id="682317846">
      <w:bodyDiv w:val="1"/>
      <w:marLeft w:val="0"/>
      <w:marRight w:val="0"/>
      <w:marTop w:val="0"/>
      <w:marBottom w:val="0"/>
      <w:divBdr>
        <w:top w:val="none" w:sz="0" w:space="0" w:color="auto"/>
        <w:left w:val="none" w:sz="0" w:space="0" w:color="auto"/>
        <w:bottom w:val="none" w:sz="0" w:space="0" w:color="auto"/>
        <w:right w:val="none" w:sz="0" w:space="0" w:color="auto"/>
      </w:divBdr>
    </w:div>
    <w:div w:id="1043795132">
      <w:bodyDiv w:val="1"/>
      <w:marLeft w:val="0"/>
      <w:marRight w:val="0"/>
      <w:marTop w:val="0"/>
      <w:marBottom w:val="0"/>
      <w:divBdr>
        <w:top w:val="none" w:sz="0" w:space="0" w:color="auto"/>
        <w:left w:val="none" w:sz="0" w:space="0" w:color="auto"/>
        <w:bottom w:val="none" w:sz="0" w:space="0" w:color="auto"/>
        <w:right w:val="none" w:sz="0" w:space="0" w:color="auto"/>
      </w:divBdr>
      <w:divsChild>
        <w:div w:id="657001886">
          <w:marLeft w:val="274"/>
          <w:marRight w:val="0"/>
          <w:marTop w:val="0"/>
          <w:marBottom w:val="0"/>
          <w:divBdr>
            <w:top w:val="none" w:sz="0" w:space="0" w:color="auto"/>
            <w:left w:val="none" w:sz="0" w:space="0" w:color="auto"/>
            <w:bottom w:val="none" w:sz="0" w:space="0" w:color="auto"/>
            <w:right w:val="none" w:sz="0" w:space="0" w:color="auto"/>
          </w:divBdr>
        </w:div>
        <w:div w:id="2013333495">
          <w:marLeft w:val="994"/>
          <w:marRight w:val="0"/>
          <w:marTop w:val="0"/>
          <w:marBottom w:val="0"/>
          <w:divBdr>
            <w:top w:val="none" w:sz="0" w:space="0" w:color="auto"/>
            <w:left w:val="none" w:sz="0" w:space="0" w:color="auto"/>
            <w:bottom w:val="none" w:sz="0" w:space="0" w:color="auto"/>
            <w:right w:val="none" w:sz="0" w:space="0" w:color="auto"/>
          </w:divBdr>
        </w:div>
        <w:div w:id="521867075">
          <w:marLeft w:val="994"/>
          <w:marRight w:val="0"/>
          <w:marTop w:val="0"/>
          <w:marBottom w:val="0"/>
          <w:divBdr>
            <w:top w:val="none" w:sz="0" w:space="0" w:color="auto"/>
            <w:left w:val="none" w:sz="0" w:space="0" w:color="auto"/>
            <w:bottom w:val="none" w:sz="0" w:space="0" w:color="auto"/>
            <w:right w:val="none" w:sz="0" w:space="0" w:color="auto"/>
          </w:divBdr>
        </w:div>
        <w:div w:id="99107052">
          <w:marLeft w:val="274"/>
          <w:marRight w:val="0"/>
          <w:marTop w:val="0"/>
          <w:marBottom w:val="0"/>
          <w:divBdr>
            <w:top w:val="none" w:sz="0" w:space="0" w:color="auto"/>
            <w:left w:val="none" w:sz="0" w:space="0" w:color="auto"/>
            <w:bottom w:val="none" w:sz="0" w:space="0" w:color="auto"/>
            <w:right w:val="none" w:sz="0" w:space="0" w:color="auto"/>
          </w:divBdr>
        </w:div>
      </w:divsChild>
    </w:div>
    <w:div w:id="1051419313">
      <w:bodyDiv w:val="1"/>
      <w:marLeft w:val="0"/>
      <w:marRight w:val="0"/>
      <w:marTop w:val="0"/>
      <w:marBottom w:val="0"/>
      <w:divBdr>
        <w:top w:val="none" w:sz="0" w:space="0" w:color="auto"/>
        <w:left w:val="none" w:sz="0" w:space="0" w:color="auto"/>
        <w:bottom w:val="none" w:sz="0" w:space="0" w:color="auto"/>
        <w:right w:val="none" w:sz="0" w:space="0" w:color="auto"/>
      </w:divBdr>
    </w:div>
    <w:div w:id="1079592348">
      <w:bodyDiv w:val="1"/>
      <w:marLeft w:val="0"/>
      <w:marRight w:val="0"/>
      <w:marTop w:val="0"/>
      <w:marBottom w:val="0"/>
      <w:divBdr>
        <w:top w:val="none" w:sz="0" w:space="0" w:color="auto"/>
        <w:left w:val="none" w:sz="0" w:space="0" w:color="auto"/>
        <w:bottom w:val="none" w:sz="0" w:space="0" w:color="auto"/>
        <w:right w:val="none" w:sz="0" w:space="0" w:color="auto"/>
      </w:divBdr>
    </w:div>
    <w:div w:id="1102913381">
      <w:bodyDiv w:val="1"/>
      <w:marLeft w:val="0"/>
      <w:marRight w:val="0"/>
      <w:marTop w:val="0"/>
      <w:marBottom w:val="0"/>
      <w:divBdr>
        <w:top w:val="none" w:sz="0" w:space="0" w:color="auto"/>
        <w:left w:val="none" w:sz="0" w:space="0" w:color="auto"/>
        <w:bottom w:val="none" w:sz="0" w:space="0" w:color="auto"/>
        <w:right w:val="none" w:sz="0" w:space="0" w:color="auto"/>
      </w:divBdr>
      <w:divsChild>
        <w:div w:id="1346246813">
          <w:marLeft w:val="446"/>
          <w:marRight w:val="0"/>
          <w:marTop w:val="0"/>
          <w:marBottom w:val="0"/>
          <w:divBdr>
            <w:top w:val="none" w:sz="0" w:space="0" w:color="auto"/>
            <w:left w:val="none" w:sz="0" w:space="0" w:color="auto"/>
            <w:bottom w:val="none" w:sz="0" w:space="0" w:color="auto"/>
            <w:right w:val="none" w:sz="0" w:space="0" w:color="auto"/>
          </w:divBdr>
        </w:div>
        <w:div w:id="29838857">
          <w:marLeft w:val="1166"/>
          <w:marRight w:val="0"/>
          <w:marTop w:val="0"/>
          <w:marBottom w:val="0"/>
          <w:divBdr>
            <w:top w:val="none" w:sz="0" w:space="0" w:color="auto"/>
            <w:left w:val="none" w:sz="0" w:space="0" w:color="auto"/>
            <w:bottom w:val="none" w:sz="0" w:space="0" w:color="auto"/>
            <w:right w:val="none" w:sz="0" w:space="0" w:color="auto"/>
          </w:divBdr>
        </w:div>
        <w:div w:id="1289237150">
          <w:marLeft w:val="1166"/>
          <w:marRight w:val="0"/>
          <w:marTop w:val="0"/>
          <w:marBottom w:val="0"/>
          <w:divBdr>
            <w:top w:val="none" w:sz="0" w:space="0" w:color="auto"/>
            <w:left w:val="none" w:sz="0" w:space="0" w:color="auto"/>
            <w:bottom w:val="none" w:sz="0" w:space="0" w:color="auto"/>
            <w:right w:val="none" w:sz="0" w:space="0" w:color="auto"/>
          </w:divBdr>
        </w:div>
        <w:div w:id="225844889">
          <w:marLeft w:val="1166"/>
          <w:marRight w:val="0"/>
          <w:marTop w:val="0"/>
          <w:marBottom w:val="0"/>
          <w:divBdr>
            <w:top w:val="none" w:sz="0" w:space="0" w:color="auto"/>
            <w:left w:val="none" w:sz="0" w:space="0" w:color="auto"/>
            <w:bottom w:val="none" w:sz="0" w:space="0" w:color="auto"/>
            <w:right w:val="none" w:sz="0" w:space="0" w:color="auto"/>
          </w:divBdr>
        </w:div>
        <w:div w:id="1973442174">
          <w:marLeft w:val="1166"/>
          <w:marRight w:val="0"/>
          <w:marTop w:val="0"/>
          <w:marBottom w:val="0"/>
          <w:divBdr>
            <w:top w:val="none" w:sz="0" w:space="0" w:color="auto"/>
            <w:left w:val="none" w:sz="0" w:space="0" w:color="auto"/>
            <w:bottom w:val="none" w:sz="0" w:space="0" w:color="auto"/>
            <w:right w:val="none" w:sz="0" w:space="0" w:color="auto"/>
          </w:divBdr>
        </w:div>
      </w:divsChild>
    </w:div>
    <w:div w:id="1171025483">
      <w:bodyDiv w:val="1"/>
      <w:marLeft w:val="0"/>
      <w:marRight w:val="0"/>
      <w:marTop w:val="0"/>
      <w:marBottom w:val="0"/>
      <w:divBdr>
        <w:top w:val="none" w:sz="0" w:space="0" w:color="auto"/>
        <w:left w:val="none" w:sz="0" w:space="0" w:color="auto"/>
        <w:bottom w:val="none" w:sz="0" w:space="0" w:color="auto"/>
        <w:right w:val="none" w:sz="0" w:space="0" w:color="auto"/>
      </w:divBdr>
      <w:divsChild>
        <w:div w:id="1980722680">
          <w:marLeft w:val="274"/>
          <w:marRight w:val="0"/>
          <w:marTop w:val="0"/>
          <w:marBottom w:val="0"/>
          <w:divBdr>
            <w:top w:val="none" w:sz="0" w:space="0" w:color="auto"/>
            <w:left w:val="none" w:sz="0" w:space="0" w:color="auto"/>
            <w:bottom w:val="none" w:sz="0" w:space="0" w:color="auto"/>
            <w:right w:val="none" w:sz="0" w:space="0" w:color="auto"/>
          </w:divBdr>
        </w:div>
        <w:div w:id="1638410584">
          <w:marLeft w:val="994"/>
          <w:marRight w:val="0"/>
          <w:marTop w:val="0"/>
          <w:marBottom w:val="0"/>
          <w:divBdr>
            <w:top w:val="none" w:sz="0" w:space="0" w:color="auto"/>
            <w:left w:val="none" w:sz="0" w:space="0" w:color="auto"/>
            <w:bottom w:val="none" w:sz="0" w:space="0" w:color="auto"/>
            <w:right w:val="none" w:sz="0" w:space="0" w:color="auto"/>
          </w:divBdr>
        </w:div>
        <w:div w:id="415202184">
          <w:marLeft w:val="994"/>
          <w:marRight w:val="0"/>
          <w:marTop w:val="0"/>
          <w:marBottom w:val="0"/>
          <w:divBdr>
            <w:top w:val="none" w:sz="0" w:space="0" w:color="auto"/>
            <w:left w:val="none" w:sz="0" w:space="0" w:color="auto"/>
            <w:bottom w:val="none" w:sz="0" w:space="0" w:color="auto"/>
            <w:right w:val="none" w:sz="0" w:space="0" w:color="auto"/>
          </w:divBdr>
        </w:div>
        <w:div w:id="814446936">
          <w:marLeft w:val="994"/>
          <w:marRight w:val="0"/>
          <w:marTop w:val="0"/>
          <w:marBottom w:val="0"/>
          <w:divBdr>
            <w:top w:val="none" w:sz="0" w:space="0" w:color="auto"/>
            <w:left w:val="none" w:sz="0" w:space="0" w:color="auto"/>
            <w:bottom w:val="none" w:sz="0" w:space="0" w:color="auto"/>
            <w:right w:val="none" w:sz="0" w:space="0" w:color="auto"/>
          </w:divBdr>
        </w:div>
      </w:divsChild>
    </w:div>
    <w:div w:id="1343584507">
      <w:bodyDiv w:val="1"/>
      <w:marLeft w:val="0"/>
      <w:marRight w:val="0"/>
      <w:marTop w:val="0"/>
      <w:marBottom w:val="0"/>
      <w:divBdr>
        <w:top w:val="none" w:sz="0" w:space="0" w:color="auto"/>
        <w:left w:val="none" w:sz="0" w:space="0" w:color="auto"/>
        <w:bottom w:val="none" w:sz="0" w:space="0" w:color="auto"/>
        <w:right w:val="none" w:sz="0" w:space="0" w:color="auto"/>
      </w:divBdr>
    </w:div>
    <w:div w:id="1356662110">
      <w:bodyDiv w:val="1"/>
      <w:marLeft w:val="0"/>
      <w:marRight w:val="0"/>
      <w:marTop w:val="0"/>
      <w:marBottom w:val="0"/>
      <w:divBdr>
        <w:top w:val="none" w:sz="0" w:space="0" w:color="auto"/>
        <w:left w:val="none" w:sz="0" w:space="0" w:color="auto"/>
        <w:bottom w:val="none" w:sz="0" w:space="0" w:color="auto"/>
        <w:right w:val="none" w:sz="0" w:space="0" w:color="auto"/>
      </w:divBdr>
    </w:div>
    <w:div w:id="1384909150">
      <w:bodyDiv w:val="1"/>
      <w:marLeft w:val="0"/>
      <w:marRight w:val="0"/>
      <w:marTop w:val="0"/>
      <w:marBottom w:val="0"/>
      <w:divBdr>
        <w:top w:val="none" w:sz="0" w:space="0" w:color="auto"/>
        <w:left w:val="none" w:sz="0" w:space="0" w:color="auto"/>
        <w:bottom w:val="none" w:sz="0" w:space="0" w:color="auto"/>
        <w:right w:val="none" w:sz="0" w:space="0" w:color="auto"/>
      </w:divBdr>
      <w:divsChild>
        <w:div w:id="1308704134">
          <w:marLeft w:val="274"/>
          <w:marRight w:val="0"/>
          <w:marTop w:val="0"/>
          <w:marBottom w:val="0"/>
          <w:divBdr>
            <w:top w:val="none" w:sz="0" w:space="0" w:color="auto"/>
            <w:left w:val="none" w:sz="0" w:space="0" w:color="auto"/>
            <w:bottom w:val="none" w:sz="0" w:space="0" w:color="auto"/>
            <w:right w:val="none" w:sz="0" w:space="0" w:color="auto"/>
          </w:divBdr>
        </w:div>
      </w:divsChild>
    </w:div>
    <w:div w:id="1496650794">
      <w:bodyDiv w:val="1"/>
      <w:marLeft w:val="0"/>
      <w:marRight w:val="0"/>
      <w:marTop w:val="0"/>
      <w:marBottom w:val="0"/>
      <w:divBdr>
        <w:top w:val="none" w:sz="0" w:space="0" w:color="auto"/>
        <w:left w:val="none" w:sz="0" w:space="0" w:color="auto"/>
        <w:bottom w:val="none" w:sz="0" w:space="0" w:color="auto"/>
        <w:right w:val="none" w:sz="0" w:space="0" w:color="auto"/>
      </w:divBdr>
      <w:divsChild>
        <w:div w:id="833766308">
          <w:marLeft w:val="274"/>
          <w:marRight w:val="0"/>
          <w:marTop w:val="0"/>
          <w:marBottom w:val="0"/>
          <w:divBdr>
            <w:top w:val="none" w:sz="0" w:space="0" w:color="auto"/>
            <w:left w:val="none" w:sz="0" w:space="0" w:color="auto"/>
            <w:bottom w:val="none" w:sz="0" w:space="0" w:color="auto"/>
            <w:right w:val="none" w:sz="0" w:space="0" w:color="auto"/>
          </w:divBdr>
        </w:div>
        <w:div w:id="1839348385">
          <w:marLeft w:val="274"/>
          <w:marRight w:val="0"/>
          <w:marTop w:val="0"/>
          <w:marBottom w:val="0"/>
          <w:divBdr>
            <w:top w:val="none" w:sz="0" w:space="0" w:color="auto"/>
            <w:left w:val="none" w:sz="0" w:space="0" w:color="auto"/>
            <w:bottom w:val="none" w:sz="0" w:space="0" w:color="auto"/>
            <w:right w:val="none" w:sz="0" w:space="0" w:color="auto"/>
          </w:divBdr>
        </w:div>
      </w:divsChild>
    </w:div>
    <w:div w:id="1516455914">
      <w:bodyDiv w:val="1"/>
      <w:marLeft w:val="0"/>
      <w:marRight w:val="0"/>
      <w:marTop w:val="0"/>
      <w:marBottom w:val="0"/>
      <w:divBdr>
        <w:top w:val="none" w:sz="0" w:space="0" w:color="auto"/>
        <w:left w:val="none" w:sz="0" w:space="0" w:color="auto"/>
        <w:bottom w:val="none" w:sz="0" w:space="0" w:color="auto"/>
        <w:right w:val="none" w:sz="0" w:space="0" w:color="auto"/>
      </w:divBdr>
      <w:divsChild>
        <w:div w:id="1745373185">
          <w:marLeft w:val="446"/>
          <w:marRight w:val="0"/>
          <w:marTop w:val="0"/>
          <w:marBottom w:val="0"/>
          <w:divBdr>
            <w:top w:val="none" w:sz="0" w:space="0" w:color="auto"/>
            <w:left w:val="none" w:sz="0" w:space="0" w:color="auto"/>
            <w:bottom w:val="none" w:sz="0" w:space="0" w:color="auto"/>
            <w:right w:val="none" w:sz="0" w:space="0" w:color="auto"/>
          </w:divBdr>
        </w:div>
      </w:divsChild>
    </w:div>
    <w:div w:id="1546677957">
      <w:bodyDiv w:val="1"/>
      <w:marLeft w:val="0"/>
      <w:marRight w:val="0"/>
      <w:marTop w:val="0"/>
      <w:marBottom w:val="0"/>
      <w:divBdr>
        <w:top w:val="none" w:sz="0" w:space="0" w:color="auto"/>
        <w:left w:val="none" w:sz="0" w:space="0" w:color="auto"/>
        <w:bottom w:val="none" w:sz="0" w:space="0" w:color="auto"/>
        <w:right w:val="none" w:sz="0" w:space="0" w:color="auto"/>
      </w:divBdr>
      <w:divsChild>
        <w:div w:id="1060329483">
          <w:marLeft w:val="274"/>
          <w:marRight w:val="0"/>
          <w:marTop w:val="0"/>
          <w:marBottom w:val="0"/>
          <w:divBdr>
            <w:top w:val="none" w:sz="0" w:space="0" w:color="auto"/>
            <w:left w:val="none" w:sz="0" w:space="0" w:color="auto"/>
            <w:bottom w:val="none" w:sz="0" w:space="0" w:color="auto"/>
            <w:right w:val="none" w:sz="0" w:space="0" w:color="auto"/>
          </w:divBdr>
        </w:div>
        <w:div w:id="1893610679">
          <w:marLeft w:val="994"/>
          <w:marRight w:val="0"/>
          <w:marTop w:val="0"/>
          <w:marBottom w:val="0"/>
          <w:divBdr>
            <w:top w:val="none" w:sz="0" w:space="0" w:color="auto"/>
            <w:left w:val="none" w:sz="0" w:space="0" w:color="auto"/>
            <w:bottom w:val="none" w:sz="0" w:space="0" w:color="auto"/>
            <w:right w:val="none" w:sz="0" w:space="0" w:color="auto"/>
          </w:divBdr>
        </w:div>
        <w:div w:id="378820430">
          <w:marLeft w:val="994"/>
          <w:marRight w:val="0"/>
          <w:marTop w:val="0"/>
          <w:marBottom w:val="0"/>
          <w:divBdr>
            <w:top w:val="none" w:sz="0" w:space="0" w:color="auto"/>
            <w:left w:val="none" w:sz="0" w:space="0" w:color="auto"/>
            <w:bottom w:val="none" w:sz="0" w:space="0" w:color="auto"/>
            <w:right w:val="none" w:sz="0" w:space="0" w:color="auto"/>
          </w:divBdr>
        </w:div>
        <w:div w:id="262802802">
          <w:marLeft w:val="994"/>
          <w:marRight w:val="0"/>
          <w:marTop w:val="0"/>
          <w:marBottom w:val="0"/>
          <w:divBdr>
            <w:top w:val="none" w:sz="0" w:space="0" w:color="auto"/>
            <w:left w:val="none" w:sz="0" w:space="0" w:color="auto"/>
            <w:bottom w:val="none" w:sz="0" w:space="0" w:color="auto"/>
            <w:right w:val="none" w:sz="0" w:space="0" w:color="auto"/>
          </w:divBdr>
        </w:div>
        <w:div w:id="1014040319">
          <w:marLeft w:val="994"/>
          <w:marRight w:val="0"/>
          <w:marTop w:val="0"/>
          <w:marBottom w:val="0"/>
          <w:divBdr>
            <w:top w:val="none" w:sz="0" w:space="0" w:color="auto"/>
            <w:left w:val="none" w:sz="0" w:space="0" w:color="auto"/>
            <w:bottom w:val="none" w:sz="0" w:space="0" w:color="auto"/>
            <w:right w:val="none" w:sz="0" w:space="0" w:color="auto"/>
          </w:divBdr>
        </w:div>
        <w:div w:id="455297688">
          <w:marLeft w:val="994"/>
          <w:marRight w:val="0"/>
          <w:marTop w:val="0"/>
          <w:marBottom w:val="0"/>
          <w:divBdr>
            <w:top w:val="none" w:sz="0" w:space="0" w:color="auto"/>
            <w:left w:val="none" w:sz="0" w:space="0" w:color="auto"/>
            <w:bottom w:val="none" w:sz="0" w:space="0" w:color="auto"/>
            <w:right w:val="none" w:sz="0" w:space="0" w:color="auto"/>
          </w:divBdr>
        </w:div>
        <w:div w:id="1186792374">
          <w:marLeft w:val="994"/>
          <w:marRight w:val="0"/>
          <w:marTop w:val="0"/>
          <w:marBottom w:val="0"/>
          <w:divBdr>
            <w:top w:val="none" w:sz="0" w:space="0" w:color="auto"/>
            <w:left w:val="none" w:sz="0" w:space="0" w:color="auto"/>
            <w:bottom w:val="none" w:sz="0" w:space="0" w:color="auto"/>
            <w:right w:val="none" w:sz="0" w:space="0" w:color="auto"/>
          </w:divBdr>
        </w:div>
        <w:div w:id="1094790152">
          <w:marLeft w:val="994"/>
          <w:marRight w:val="0"/>
          <w:marTop w:val="0"/>
          <w:marBottom w:val="0"/>
          <w:divBdr>
            <w:top w:val="none" w:sz="0" w:space="0" w:color="auto"/>
            <w:left w:val="none" w:sz="0" w:space="0" w:color="auto"/>
            <w:bottom w:val="none" w:sz="0" w:space="0" w:color="auto"/>
            <w:right w:val="none" w:sz="0" w:space="0" w:color="auto"/>
          </w:divBdr>
        </w:div>
        <w:div w:id="207452094">
          <w:marLeft w:val="994"/>
          <w:marRight w:val="0"/>
          <w:marTop w:val="0"/>
          <w:marBottom w:val="0"/>
          <w:divBdr>
            <w:top w:val="none" w:sz="0" w:space="0" w:color="auto"/>
            <w:left w:val="none" w:sz="0" w:space="0" w:color="auto"/>
            <w:bottom w:val="none" w:sz="0" w:space="0" w:color="auto"/>
            <w:right w:val="none" w:sz="0" w:space="0" w:color="auto"/>
          </w:divBdr>
        </w:div>
      </w:divsChild>
    </w:div>
    <w:div w:id="1677148731">
      <w:bodyDiv w:val="1"/>
      <w:marLeft w:val="0"/>
      <w:marRight w:val="0"/>
      <w:marTop w:val="0"/>
      <w:marBottom w:val="0"/>
      <w:divBdr>
        <w:top w:val="none" w:sz="0" w:space="0" w:color="auto"/>
        <w:left w:val="none" w:sz="0" w:space="0" w:color="auto"/>
        <w:bottom w:val="none" w:sz="0" w:space="0" w:color="auto"/>
        <w:right w:val="none" w:sz="0" w:space="0" w:color="auto"/>
      </w:divBdr>
    </w:div>
    <w:div w:id="1813600256">
      <w:bodyDiv w:val="1"/>
      <w:marLeft w:val="0"/>
      <w:marRight w:val="0"/>
      <w:marTop w:val="0"/>
      <w:marBottom w:val="0"/>
      <w:divBdr>
        <w:top w:val="none" w:sz="0" w:space="0" w:color="auto"/>
        <w:left w:val="none" w:sz="0" w:space="0" w:color="auto"/>
        <w:bottom w:val="none" w:sz="0" w:space="0" w:color="auto"/>
        <w:right w:val="none" w:sz="0" w:space="0" w:color="auto"/>
      </w:divBdr>
    </w:div>
    <w:div w:id="1827547315">
      <w:bodyDiv w:val="1"/>
      <w:marLeft w:val="0"/>
      <w:marRight w:val="0"/>
      <w:marTop w:val="0"/>
      <w:marBottom w:val="0"/>
      <w:divBdr>
        <w:top w:val="none" w:sz="0" w:space="0" w:color="auto"/>
        <w:left w:val="none" w:sz="0" w:space="0" w:color="auto"/>
        <w:bottom w:val="none" w:sz="0" w:space="0" w:color="auto"/>
        <w:right w:val="none" w:sz="0" w:space="0" w:color="auto"/>
      </w:divBdr>
      <w:divsChild>
        <w:div w:id="1856849125">
          <w:marLeft w:val="274"/>
          <w:marRight w:val="0"/>
          <w:marTop w:val="0"/>
          <w:marBottom w:val="0"/>
          <w:divBdr>
            <w:top w:val="none" w:sz="0" w:space="0" w:color="auto"/>
            <w:left w:val="none" w:sz="0" w:space="0" w:color="auto"/>
            <w:bottom w:val="none" w:sz="0" w:space="0" w:color="auto"/>
            <w:right w:val="none" w:sz="0" w:space="0" w:color="auto"/>
          </w:divBdr>
        </w:div>
        <w:div w:id="231241089">
          <w:marLeft w:val="994"/>
          <w:marRight w:val="0"/>
          <w:marTop w:val="0"/>
          <w:marBottom w:val="0"/>
          <w:divBdr>
            <w:top w:val="none" w:sz="0" w:space="0" w:color="auto"/>
            <w:left w:val="none" w:sz="0" w:space="0" w:color="auto"/>
            <w:bottom w:val="none" w:sz="0" w:space="0" w:color="auto"/>
            <w:right w:val="none" w:sz="0" w:space="0" w:color="auto"/>
          </w:divBdr>
        </w:div>
        <w:div w:id="720328239">
          <w:marLeft w:val="994"/>
          <w:marRight w:val="0"/>
          <w:marTop w:val="0"/>
          <w:marBottom w:val="0"/>
          <w:divBdr>
            <w:top w:val="none" w:sz="0" w:space="0" w:color="auto"/>
            <w:left w:val="none" w:sz="0" w:space="0" w:color="auto"/>
            <w:bottom w:val="none" w:sz="0" w:space="0" w:color="auto"/>
            <w:right w:val="none" w:sz="0" w:space="0" w:color="auto"/>
          </w:divBdr>
        </w:div>
        <w:div w:id="1456681652">
          <w:marLeft w:val="994"/>
          <w:marRight w:val="0"/>
          <w:marTop w:val="0"/>
          <w:marBottom w:val="0"/>
          <w:divBdr>
            <w:top w:val="none" w:sz="0" w:space="0" w:color="auto"/>
            <w:left w:val="none" w:sz="0" w:space="0" w:color="auto"/>
            <w:bottom w:val="none" w:sz="0" w:space="0" w:color="auto"/>
            <w:right w:val="none" w:sz="0" w:space="0" w:color="auto"/>
          </w:divBdr>
        </w:div>
        <w:div w:id="837694453">
          <w:marLeft w:val="994"/>
          <w:marRight w:val="0"/>
          <w:marTop w:val="0"/>
          <w:marBottom w:val="0"/>
          <w:divBdr>
            <w:top w:val="none" w:sz="0" w:space="0" w:color="auto"/>
            <w:left w:val="none" w:sz="0" w:space="0" w:color="auto"/>
            <w:bottom w:val="none" w:sz="0" w:space="0" w:color="auto"/>
            <w:right w:val="none" w:sz="0" w:space="0" w:color="auto"/>
          </w:divBdr>
        </w:div>
        <w:div w:id="1303542477">
          <w:marLeft w:val="994"/>
          <w:marRight w:val="0"/>
          <w:marTop w:val="0"/>
          <w:marBottom w:val="0"/>
          <w:divBdr>
            <w:top w:val="none" w:sz="0" w:space="0" w:color="auto"/>
            <w:left w:val="none" w:sz="0" w:space="0" w:color="auto"/>
            <w:bottom w:val="none" w:sz="0" w:space="0" w:color="auto"/>
            <w:right w:val="none" w:sz="0" w:space="0" w:color="auto"/>
          </w:divBdr>
        </w:div>
        <w:div w:id="552153851">
          <w:marLeft w:val="994"/>
          <w:marRight w:val="0"/>
          <w:marTop w:val="0"/>
          <w:marBottom w:val="0"/>
          <w:divBdr>
            <w:top w:val="none" w:sz="0" w:space="0" w:color="auto"/>
            <w:left w:val="none" w:sz="0" w:space="0" w:color="auto"/>
            <w:bottom w:val="none" w:sz="0" w:space="0" w:color="auto"/>
            <w:right w:val="none" w:sz="0" w:space="0" w:color="auto"/>
          </w:divBdr>
        </w:div>
      </w:divsChild>
    </w:div>
    <w:div w:id="1892421341">
      <w:bodyDiv w:val="1"/>
      <w:marLeft w:val="0"/>
      <w:marRight w:val="0"/>
      <w:marTop w:val="0"/>
      <w:marBottom w:val="0"/>
      <w:divBdr>
        <w:top w:val="none" w:sz="0" w:space="0" w:color="auto"/>
        <w:left w:val="none" w:sz="0" w:space="0" w:color="auto"/>
        <w:bottom w:val="none" w:sz="0" w:space="0" w:color="auto"/>
        <w:right w:val="none" w:sz="0" w:space="0" w:color="auto"/>
      </w:divBdr>
      <w:divsChild>
        <w:div w:id="425615390">
          <w:marLeft w:val="274"/>
          <w:marRight w:val="0"/>
          <w:marTop w:val="0"/>
          <w:marBottom w:val="0"/>
          <w:divBdr>
            <w:top w:val="none" w:sz="0" w:space="0" w:color="auto"/>
            <w:left w:val="none" w:sz="0" w:space="0" w:color="auto"/>
            <w:bottom w:val="none" w:sz="0" w:space="0" w:color="auto"/>
            <w:right w:val="none" w:sz="0" w:space="0" w:color="auto"/>
          </w:divBdr>
        </w:div>
      </w:divsChild>
    </w:div>
    <w:div w:id="2001695817">
      <w:bodyDiv w:val="1"/>
      <w:marLeft w:val="0"/>
      <w:marRight w:val="0"/>
      <w:marTop w:val="0"/>
      <w:marBottom w:val="0"/>
      <w:divBdr>
        <w:top w:val="none" w:sz="0" w:space="0" w:color="auto"/>
        <w:left w:val="none" w:sz="0" w:space="0" w:color="auto"/>
        <w:bottom w:val="none" w:sz="0" w:space="0" w:color="auto"/>
        <w:right w:val="none" w:sz="0" w:space="0" w:color="auto"/>
      </w:divBdr>
      <w:divsChild>
        <w:div w:id="2033415389">
          <w:marLeft w:val="274"/>
          <w:marRight w:val="0"/>
          <w:marTop w:val="0"/>
          <w:marBottom w:val="0"/>
          <w:divBdr>
            <w:top w:val="none" w:sz="0" w:space="0" w:color="auto"/>
            <w:left w:val="none" w:sz="0" w:space="0" w:color="auto"/>
            <w:bottom w:val="none" w:sz="0" w:space="0" w:color="auto"/>
            <w:right w:val="none" w:sz="0" w:space="0" w:color="auto"/>
          </w:divBdr>
        </w:div>
      </w:divsChild>
    </w:div>
    <w:div w:id="2055275035">
      <w:bodyDiv w:val="1"/>
      <w:marLeft w:val="0"/>
      <w:marRight w:val="0"/>
      <w:marTop w:val="0"/>
      <w:marBottom w:val="0"/>
      <w:divBdr>
        <w:top w:val="none" w:sz="0" w:space="0" w:color="auto"/>
        <w:left w:val="none" w:sz="0" w:space="0" w:color="auto"/>
        <w:bottom w:val="none" w:sz="0" w:space="0" w:color="auto"/>
        <w:right w:val="none" w:sz="0" w:space="0" w:color="auto"/>
      </w:divBdr>
      <w:divsChild>
        <w:div w:id="545795445">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yperlink" Target="https://ts.accenture.com/:b:/r/sites/GlobalDocTemplates/Published%20Documents/AOT/AOT%202.1/AOT_Release_Notes_2_1.pdf" TargetMode="External"/><Relationship Id="rId3" Type="http://schemas.openxmlformats.org/officeDocument/2006/relationships/customXml" Target="../customXml/item3.xml"/><Relationship Id="rId21" Type="http://schemas.openxmlformats.org/officeDocument/2006/relationships/hyperlink" Target="mailto:ankur.manchanda@accenture.com"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ts.accenture.com/sites/GlobalDocTemplates/Published%20Documents/AOT/AOT%202.2/AOT_Release_Notes_2_2.pdf" TargetMode="External"/><Relationship Id="rId33" Type="http://schemas.openxmlformats.org/officeDocument/2006/relationships/hyperlink" Target="https://ts.accenture.com/sites/GlobalDocTemplates/Shared%20Documents/Released%20Documentation/Accenture%20Operations%20Twin%20(AOT)/1.0/AOT_Release_Notes_1_0.pdf"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susarla.aditya@accenture.com" TargetMode="External"/><Relationship Id="rId29" Type="http://schemas.openxmlformats.org/officeDocument/2006/relationships/hyperlink" Target="https://ts.accenture.com/:b:/r/sites/GlobalDocTemplates/Published%20Documents/AOT/AOT%201.3/AOT_Release_Notes_1_3.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s.accenture.com/sites/GlobalDocTemplates/Published%20Documents/AOT/AOT%202.3/AOT_Release_Notes_2_3.pdf" TargetMode="External"/><Relationship Id="rId32" Type="http://schemas.openxmlformats.org/officeDocument/2006/relationships/hyperlink" Target="https://ts.accenture.com/sites/GlobalDocTemplates/Shared%20Documents/Released%20Documentation/Accenture%20Operations%20Twin%20(AOT)/1.0.1/AOT_Release_Notes_1_0_1.pdf"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ts.accenture.com/:b:/r/sites/GlobalDocTemplates/Published%20Documents/AOT/AOT%202.4/AOT_Release_Notes_2_4.pdf" TargetMode="External"/><Relationship Id="rId28" Type="http://schemas.openxmlformats.org/officeDocument/2006/relationships/hyperlink" Target="https://ts.accenture.com/:b:/r/sites/GlobalDocTemplates/Published%20Documents/AOT/AOT%201.4/AOT_Release_Notes_1_4.pdf"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florian.tournier@accenture.com" TargetMode="External"/><Relationship Id="rId31" Type="http://schemas.openxmlformats.org/officeDocument/2006/relationships/hyperlink" Target="https://ts.accenture.com/:b:/r/sites/GlobalDocTemplates/Published%20Documents/AOT/AOT_Release_Notes_1_1.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ts.accenture.com/:b:/r/sites/GlobalDocTemplates/Published%20Documents/AOT/AOT%202.5/AOT_Release_Notes_2_5.pdf" TargetMode="External"/><Relationship Id="rId27" Type="http://schemas.openxmlformats.org/officeDocument/2006/relationships/hyperlink" Target="https://ts.accenture.com/:b:/r/sites/GlobalDocTemplates/Published%20Documents/AOT/AOT%202.0/AOT_Release_Notes_2_0.pdf" TargetMode="External"/><Relationship Id="rId30" Type="http://schemas.openxmlformats.org/officeDocument/2006/relationships/hyperlink" Target="https://ts.accenture.com/:b:/r/sites/GlobalDocTemplates/Published%20Documents/AOT/AOT%201.2/AOT_Release_Notes_1_2.pdf" TargetMode="External"/><Relationship Id="rId35" Type="http://schemas.openxmlformats.org/officeDocument/2006/relationships/glossaryDocument" Target="glossary/document.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Release_Notes_Index/Release_Notes_Index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4F1F3EF7424252AA70D0368FEC551F"/>
        <w:category>
          <w:name w:val="General"/>
          <w:gallery w:val="placeholder"/>
        </w:category>
        <w:types>
          <w:type w:val="bbPlcHdr"/>
        </w:types>
        <w:behaviors>
          <w:behavior w:val="content"/>
        </w:behaviors>
        <w:guid w:val="{CEF940CA-AACA-4835-A41F-B8B1A0A6CA86}"/>
      </w:docPartPr>
      <w:docPartBody>
        <w:p w:rsidR="00877A5A" w:rsidRDefault="00877A5A">
          <w:r w:rsidRPr="004E5632">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BC"/>
    <w:rsid w:val="000E17A1"/>
    <w:rsid w:val="001066C3"/>
    <w:rsid w:val="002A0597"/>
    <w:rsid w:val="002B227F"/>
    <w:rsid w:val="002C0D91"/>
    <w:rsid w:val="002F4A0C"/>
    <w:rsid w:val="004D71EA"/>
    <w:rsid w:val="006446DD"/>
    <w:rsid w:val="00651ABC"/>
    <w:rsid w:val="00682FAD"/>
    <w:rsid w:val="006E6F56"/>
    <w:rsid w:val="00877A5A"/>
    <w:rsid w:val="009C6C35"/>
    <w:rsid w:val="00A731AC"/>
    <w:rsid w:val="00AD7354"/>
    <w:rsid w:val="00B059E0"/>
    <w:rsid w:val="00B9164D"/>
    <w:rsid w:val="00BD0B38"/>
    <w:rsid w:val="00C904D6"/>
    <w:rsid w:val="00E1304E"/>
    <w:rsid w:val="00E14F81"/>
    <w:rsid w:val="00E344A0"/>
    <w:rsid w:val="00E5404A"/>
    <w:rsid w:val="00F3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AB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7A5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Manchanda, Ankur</DisplayName>
        <AccountId>49</AccountId>
        <AccountType/>
      </UserInfo>
    </Author1>
    <Approver xmlns="c4bbe816-f9b7-401b-8d8f-485022adc0f2">
      <UserInfo>
        <DisplayName>Tournier, Florian</DisplayName>
        <AccountId>13</AccountId>
        <AccountType/>
      </UserInfo>
    </Approver>
    <TaxCatchAll xmlns="c4bbe816-f9b7-401b-8d8f-485022adc0f2" xsi:nil="true"/>
    <SME xmlns="c4bbe816-f9b7-401b-8d8f-485022adc0f2">
      <UserInfo>
        <DisplayName>Susarla, Aditya</DisplayName>
        <AccountId>35</AccountId>
        <AccountType/>
      </UserInfo>
    </SME>
    <Pending_x0020_Content xmlns="c4bbe816-f9b7-401b-8d8f-485022adc0f2">-</Pending_x0020_Content>
    <Completeness xmlns="c4bbe816-f9b7-401b-8d8f-485022adc0f2">100%</Completeness>
    <Priority xmlns="81909fe3-6ae3-4e8c-8389-1cd7b8cbfe53">High</Priority>
    <_Flow_SignoffStatus xmlns="81909fe3-6ae3-4e8c-8389-1cd7b8cbfe53">Not requested</_Flow_SignoffStatus>
    <Pre_x002d_approvalQC xmlns="81909fe3-6ae3-4e8c-8389-1cd7b8cbfe53">Pending</Pre_x002d_approvalQC>
    <Status_x0020_Flag xmlns="c4bbe816-f9b7-401b-8d8f-485022adc0f2">Maintenance Request Sent</Status_x0020_Flag>
    <Component xmlns="81909fe3-6ae3-4e8c-8389-1cd7b8cbfe53">General</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8.0</DLCPolicyLabelValue>
    <Thumbnail xmlns="81909fe3-6ae3-4e8c-8389-1cd7b8cbfe53" xsi:nil="true"/>
    <BA xmlns="c4bbe816-f9b7-401b-8d8f-485022adc0f2">
      <UserInfo>
        <DisplayName>Olson, Ed</DisplayName>
        <AccountId>10</AccountId>
        <AccountType/>
      </UserInfo>
      <UserInfo>
        <DisplayName>Farheen, Zara</DisplayName>
        <AccountId>169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8BF89B3E-5482-4371-B6E8-ABCB8368EC45}">
  <ds:schemaRefs>
    <ds:schemaRef ds:uri="http://schemas.openxmlformats.org/officeDocument/2006/bibliography"/>
  </ds:schemaRefs>
</ds:datastoreItem>
</file>

<file path=customXml/itemProps2.xml><?xml version="1.0" encoding="utf-8"?>
<ds:datastoreItem xmlns:ds="http://schemas.openxmlformats.org/officeDocument/2006/customXml" ds:itemID="{968BC0F9-33F9-4B78-9C9E-63E4865D6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8E6E4F-43F9-4EBD-BF2E-DD94AC21F5E1}">
  <ds:schemaRefs>
    <ds:schemaRef ds:uri="http://schemas.microsoft.com/sharepoint/v3/contenttype/forms"/>
  </ds:schemaRefs>
</ds:datastoreItem>
</file>

<file path=customXml/itemProps4.xml><?xml version="1.0" encoding="utf-8"?>
<ds:datastoreItem xmlns:ds="http://schemas.openxmlformats.org/officeDocument/2006/customXml" ds:itemID="{9F05A8EF-2AEE-491A-9714-4E1C980F2879}">
  <ds:schemaRefs>
    <ds:schemaRef ds:uri="office.server.policy"/>
  </ds:schemaRefs>
</ds:datastoreItem>
</file>

<file path=customXml/itemProps5.xml><?xml version="1.0" encoding="utf-8"?>
<ds:datastoreItem xmlns:ds="http://schemas.openxmlformats.org/officeDocument/2006/customXml" ds:itemID="{0F2EFB02-509B-476D-B921-9665CD79AC3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Release_Notes_Index_Template.dotx</Template>
  <TotalTime>314</TotalTime>
  <Pages>5</Pages>
  <Words>1398</Words>
  <Characters>7988</Characters>
  <Application>Microsoft Office Word</Application>
  <DocSecurity>0</DocSecurity>
  <Lines>363</Lines>
  <Paragraphs>253</Paragraphs>
  <ScaleCrop>false</ScaleCrop>
  <HeadingPairs>
    <vt:vector size="2" baseType="variant">
      <vt:variant>
        <vt:lpstr>Title</vt:lpstr>
      </vt:variant>
      <vt:variant>
        <vt:i4>1</vt:i4>
      </vt:variant>
    </vt:vector>
  </HeadingPairs>
  <TitlesOfParts>
    <vt:vector size="1" baseType="lpstr">
      <vt:lpstr>AOT Release Notes Index</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Release Notes Index</dc:title>
  <dc:subject/>
  <dc:creator>Olson, Edward R.</dc:creator>
  <cp:keywords/>
  <dc:description/>
  <cp:lastModifiedBy>Olson, Ed</cp:lastModifiedBy>
  <cp:revision>96</cp:revision>
  <cp:lastPrinted>2026-01-02T14:35:00Z</cp:lastPrinted>
  <dcterms:created xsi:type="dcterms:W3CDTF">2022-09-27T16:29:00Z</dcterms:created>
  <dcterms:modified xsi:type="dcterms:W3CDTF">2026-01-02T16:38:00Z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Approver">
    <vt:lpwstr>47;#i:0#.f|membership|prakash.gg@accenture.com,#i:0#.f|membership|prakash.gg@accenture.com,#prakash.gg@accenture.com,#prakash.gg@accenture.com,#Gurnani, Prakash,#,#,#</vt:lpwstr>
  </property>
  <property fmtid="{D5CDD505-2E9C-101B-9397-08002B2CF9AE}" pid="5" name="AssignedTo">
    <vt:lpwstr>10;#Olson, Ed</vt:lpwstr>
  </property>
  <property fmtid="{D5CDD505-2E9C-101B-9397-08002B2CF9AE}" pid="6" name="Co-Author">
    <vt:lpwstr/>
  </property>
  <property fmtid="{D5CDD505-2E9C-101B-9397-08002B2CF9AE}" pid="7" name="Project Acronym">
    <vt:lpwstr>IEMP</vt:lpwstr>
  </property>
  <property fmtid="{D5CDD505-2E9C-101B-9397-08002B2CF9AE}" pid="8" name="Sign-off status">
    <vt:lpwstr>Approved</vt:lpwstr>
  </property>
  <property fmtid="{D5CDD505-2E9C-101B-9397-08002B2CF9AE}" pid="9" name="Priority">
    <vt:lpwstr>(2) Normal</vt:lpwstr>
  </property>
  <property fmtid="{D5CDD505-2E9C-101B-9397-08002B2CF9AE}" pid="10" name="Author0">
    <vt:lpwstr>48;#Gurusamy, Abhirami</vt:lpwstr>
  </property>
  <property fmtid="{D5CDD505-2E9C-101B-9397-08002B2CF9AE}" pid="11" name="SME">
    <vt:lpwstr>48;#Gurusamy, Abhirami</vt:lpwstr>
  </property>
  <property fmtid="{D5CDD505-2E9C-101B-9397-08002B2CF9AE}" pid="12" name="Copied">
    <vt:bool>false</vt:bool>
  </property>
  <property fmtid="{D5CDD505-2E9C-101B-9397-08002B2CF9AE}" pid="13" name="Doc Version">
    <vt:lpwstr>1.2</vt:lpwstr>
  </property>
  <property fmtid="{D5CDD505-2E9C-101B-9397-08002B2CF9AE}" pid="14" name="IX Doc Team">
    <vt:lpwstr>2041;#IX_Doc_Team</vt:lpwstr>
  </property>
  <property fmtid="{D5CDD505-2E9C-101B-9397-08002B2CF9AE}" pid="15" name="RFTrigger">
    <vt:lpwstr>No</vt:lpwstr>
  </property>
  <property fmtid="{D5CDD505-2E9C-101B-9397-08002B2CF9AE}" pid="16" name="docLang">
    <vt:lpwstr>en</vt:lpwstr>
  </property>
</Properties>
</file>