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Graph-based Decision Discovery 项目路线图</w:t>
      </w:r>
    </w:p>
    <w:p>
      <w:pPr>
        <w:pStyle w:val="Heading1"/>
      </w:pPr>
      <w:r>
        <w:t>总体路线（4个阶段）</w:t>
      </w:r>
    </w:p>
    <w:p>
      <w:r>
        <w:t>Phase 1：无真实数据 + 无AI → 建立Graph结构</w:t>
        <w:br/>
        <w:t>Phase 2：半真实数据 → 增强现实性</w:t>
        <w:br/>
        <w:t>Phase 3：东京真实数据 → 对齐研究计划</w:t>
        <w:br/>
        <w:t>Phase 4：真实数据 + AI/RL → 提升深度</w:t>
      </w:r>
    </w:p>
    <w:p>
      <w:pPr>
        <w:pStyle w:val="Heading1"/>
      </w:pPr>
      <w:r>
        <w:t>Phase 1：最小Graph系统</w:t>
      </w:r>
    </w:p>
    <w:p>
      <w:r>
        <w:t>目标：理解Graph + Co-creation + Opportunity Discovery</w:t>
        <w:br/>
        <w:t>内容：模拟数据、用户规则、构建Graph、centrality、community、anomaly、可视化</w:t>
        <w:br/>
        <w:t>时间：3–5天</w:t>
        <w:br/>
        <w:t>是否可用于套磁：可以（基础版本）</w:t>
      </w:r>
    </w:p>
    <w:p>
      <w:pPr>
        <w:pStyle w:val="Heading1"/>
      </w:pPr>
      <w:r>
        <w:t>Phase 2：半真实数据</w:t>
      </w:r>
    </w:p>
    <w:p>
      <w:r>
        <w:t>目标：从玩具项目过渡到研究项目</w:t>
        <w:br/>
        <w:t>内容：引入简单真实数据，不改变Graph结构</w:t>
        <w:br/>
        <w:t>时间：2–4天</w:t>
        <w:br/>
        <w:t>套磁价值：增强可信度</w:t>
      </w:r>
    </w:p>
    <w:p>
      <w:pPr>
        <w:pStyle w:val="Heading1"/>
      </w:pPr>
      <w:r>
        <w:t>Phase 3：东京数据（关键阶段）</w:t>
      </w:r>
    </w:p>
    <w:p>
      <w:r>
        <w:t>目标：完全对齐研究计划</w:t>
        <w:br/>
        <w:t>内容：引入东京open data（租金、犯罪率、交通等）</w:t>
        <w:br/>
        <w:t>保持Graph分析为核心</w:t>
        <w:br/>
        <w:t>时间：3–6天</w:t>
        <w:br/>
        <w:t>套磁价值：核心</w:t>
      </w:r>
    </w:p>
    <w:p>
      <w:pPr>
        <w:pStyle w:val="Heading1"/>
      </w:pPr>
      <w:r>
        <w:t>Phase 4：AI / RL扩展</w:t>
      </w:r>
    </w:p>
    <w:p>
      <w:r>
        <w:t>目标：引入AI模拟用户决策</w:t>
        <w:br/>
        <w:t>内容：使用简单模型或RL生成用户行为</w:t>
        <w:br/>
        <w:t>强调AI用于行为模拟，而非优化</w:t>
        <w:br/>
        <w:t>时间：4–7天</w:t>
        <w:br/>
        <w:t>套磁价值：加分项</w:t>
      </w:r>
    </w:p>
    <w:p>
      <w:pPr>
        <w:pStyle w:val="Heading1"/>
      </w:pPr>
      <w:r>
        <w:t>最终项目结构</w:t>
      </w:r>
    </w:p>
    <w:p>
      <w:r>
        <w:t>Data Layer：东京数据</w:t>
        <w:br/>
        <w:t>Decision Layer：用户决策（规则/AI）</w:t>
        <w:br/>
        <w:t>Graph Layer：交互网络</w:t>
        <w:br/>
        <w:t>分析：centrality / community / anomaly</w:t>
        <w:br/>
        <w:t>输出：交互式可视化图</w:t>
      </w:r>
    </w:p>
    <w:p>
      <w:pPr>
        <w:pStyle w:val="Heading1"/>
      </w:pPr>
      <w:r>
        <w:t>策略提醒</w:t>
      </w:r>
    </w:p>
    <w:p>
      <w:r>
        <w:t>Phase 3完成即可套磁</w:t>
        <w:br/>
        <w:t>Phase 4作为ongoing work写入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