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Research Taste Modeling: Project Proposal</w:t>
        <w:br/>
        <w:t>Data Collection, Modeling, Benchmark, and Implementation Plan</w:t>
      </w:r>
    </w:p>
    <w:p/>
    <w:p>
      <w:pPr>
        <w:pStyle w:val="Heading1"/>
      </w:pPr>
      <w:r>
        <w:t>1. Project Overview</w:t>
      </w:r>
    </w:p>
    <w:p>
      <w:r>
        <w:t>This document presents the complete technical plan for building a computational system that models the research taste of historical scientists, with Albert Einstein as the initial case study. The system is designed to: (1) evaluate and rank candidate scientific theories/questions according to a scientist's documented preferences; (2) provide evidence-grounded explanations for each evaluation; (3) strictly separate historical evidence from model inference; and (4) support temporal cutoffs to prevent anachronism.</w:t>
      </w:r>
    </w:p>
    <w:p>
      <w:r>
        <w:t>The project proceeds in four phases: data collection, mathematical formalization, benchmark construction, and system implementation. Each phase is described in detail below.</w:t>
      </w:r>
    </w:p>
    <w:p>
      <w:pPr>
        <w:pStyle w:val="Heading1"/>
      </w:pPr>
      <w:r>
        <w:t>2. Data Collection Plan</w:t>
      </w:r>
    </w:p>
    <w:p>
      <w:pPr>
        <w:pStyle w:val="Heading2"/>
      </w:pPr>
      <w:r>
        <w:t>2.1 Data Sources</w:t>
      </w:r>
    </w:p>
    <w:p>
      <w:r>
        <w:t>We categorize data sources by their proximity to the scientist's actual thinking: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Source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Expected Volume</w:t>
            </w:r>
          </w:p>
        </w:tc>
      </w:tr>
      <w:tr>
        <w:tc>
          <w:tcPr>
            <w:tcW w:type="dxa" w:w="2340"/>
          </w:tcPr>
          <w:p>
            <w:r>
              <w:t>Primary (Own writings)</w:t>
            </w:r>
          </w:p>
        </w:tc>
        <w:tc>
          <w:tcPr>
            <w:tcW w:type="dxa" w:w="2340"/>
          </w:tcPr>
          <w:p>
            <w:r>
              <w:t>Published papers, lectures, letters, notebooks, autobiographical notes</w:t>
            </w:r>
          </w:p>
        </w:tc>
        <w:tc>
          <w:tcPr>
            <w:tcW w:type="dxa" w:w="2340"/>
          </w:tcPr>
          <w:p>
            <w:r>
              <w:t>Critical</w:t>
            </w:r>
          </w:p>
        </w:tc>
        <w:tc>
          <w:tcPr>
            <w:tcW w:type="dxa" w:w="2340"/>
          </w:tcPr>
          <w:p>
            <w:r>
              <w:t>~500 documents</w:t>
            </w:r>
          </w:p>
        </w:tc>
      </w:tr>
      <w:tr>
        <w:tc>
          <w:tcPr>
            <w:tcW w:type="dxa" w:w="2340"/>
          </w:tcPr>
          <w:p>
            <w:r>
              <w:t>Secondary (Scholarly)</w:t>
            </w:r>
          </w:p>
        </w:tc>
        <w:tc>
          <w:tcPr>
            <w:tcW w:type="dxa" w:w="2340"/>
          </w:tcPr>
          <w:p>
            <w:r>
              <w:t>Pais (1982), Holton (1973), van Dongen (2010), Norton (1984), Howard (1985), Fine (1986)</w:t>
            </w:r>
          </w:p>
        </w:tc>
        <w:tc>
          <w:tcPr>
            <w:tcW w:type="dxa" w:w="2340"/>
          </w:tcPr>
          <w:p>
            <w:r>
              <w:t>High</w:t>
            </w:r>
          </w:p>
        </w:tc>
        <w:tc>
          <w:tcPr>
            <w:tcW w:type="dxa" w:w="2340"/>
          </w:tcPr>
          <w:p>
            <w:r>
              <w:t>~50 books/papers</w:t>
            </w:r>
          </w:p>
        </w:tc>
      </w:tr>
      <w:tr>
        <w:tc>
          <w:tcPr>
            <w:tcW w:type="dxa" w:w="2340"/>
          </w:tcPr>
          <w:p>
            <w:r>
              <w:t>Tertiary (General)</w:t>
            </w:r>
          </w:p>
        </w:tc>
        <w:tc>
          <w:tcPr>
            <w:tcW w:type="dxa" w:w="2340"/>
          </w:tcPr>
          <w:p>
            <w:r>
              <w:t>Isaacson (2007), popular biographies, textbook accounts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~20 sources</w:t>
            </w:r>
          </w:p>
        </w:tc>
      </w:tr>
      <w:tr>
        <w:tc>
          <w:tcPr>
            <w:tcW w:type="dxa" w:w="2340"/>
          </w:tcPr>
          <w:p>
            <w:r>
              <w:t>Contextual</w:t>
            </w:r>
          </w:p>
        </w:tc>
        <w:tc>
          <w:tcPr>
            <w:tcW w:type="dxa" w:w="2340"/>
          </w:tcPr>
          <w:p>
            <w:r>
              <w:t>Contemporary scientific papers Einstein engaged with, Solvay proceedings, peer reviews</w:t>
            </w:r>
          </w:p>
        </w:tc>
        <w:tc>
          <w:tcPr>
            <w:tcW w:type="dxa" w:w="2340"/>
          </w:tcPr>
          <w:p>
            <w:r>
              <w:t>Medium</w:t>
            </w:r>
          </w:p>
        </w:tc>
        <w:tc>
          <w:tcPr>
            <w:tcW w:type="dxa" w:w="2340"/>
          </w:tcPr>
          <w:p>
            <w:r>
              <w:t>~200 documents</w:t>
            </w:r>
          </w:p>
        </w:tc>
      </w:tr>
    </w:tbl>
    <w:p/>
    <w:p>
      <w:pPr>
        <w:pStyle w:val="Heading2"/>
      </w:pPr>
      <w:r>
        <w:t>2.2 Specific Data Sources for Einstein</w:t>
      </w:r>
    </w:p>
    <w:p>
      <w:r>
        <w:t>Primary sources (Einstein's own words):</w:t>
      </w:r>
    </w:p>
    <w:p>
      <w:pPr>
        <w:pStyle w:val="ListBullet"/>
      </w:pPr>
      <w:r>
        <w:t>The Collected Papers of Albert Einstein (Princeton University Press, 15+ volumes) — Full text available at einsteinpapers.press.princeton.edu</w:t>
      </w:r>
    </w:p>
    <w:p>
      <w:pPr>
        <w:pStyle w:val="ListBullet"/>
      </w:pPr>
      <w:r>
        <w:t>Einstein Archives Online (Hebrew University) — Metadata and selected digitized manuscripts</w:t>
      </w:r>
    </w:p>
    <w:p>
      <w:pPr>
        <w:pStyle w:val="ListBullet"/>
      </w:pPr>
      <w:r>
        <w:t>Einstein-Born Letters (1916–1955) — Key source for quantum mechanics debates</w:t>
      </w:r>
    </w:p>
    <w:p>
      <w:pPr>
        <w:pStyle w:val="ListBullet"/>
      </w:pPr>
      <w:r>
        <w:t>Einstein-Besso Correspondence — Candid discussions of scientific methodology</w:t>
      </w:r>
    </w:p>
    <w:p>
      <w:pPr>
        <w:pStyle w:val="ListBullet"/>
      </w:pPr>
      <w:r>
        <w:t>"Autobiographical Notes" in Schilpp (1949) — Einstein's own account of his intellectual development</w:t>
      </w:r>
    </w:p>
    <w:p>
      <w:pPr>
        <w:pStyle w:val="ListBullet"/>
      </w:pPr>
      <w:r>
        <w:t>"On the Method of Theoretical Physics" (1933) — Einstein's most explicit methodological statement</w:t>
      </w:r>
    </w:p>
    <w:p>
      <w:pPr>
        <w:pStyle w:val="ListBullet"/>
      </w:pPr>
      <w:r>
        <w:t>"Physics and Reality" (1936) — Einstein's philosophy of physical theory</w:t>
      </w:r>
    </w:p>
    <w:p>
      <w:pPr>
        <w:pStyle w:val="ListBullet"/>
      </w:pPr>
      <w:r>
        <w:t>"Geometry and Experience" (1921) — On the relationship between mathematics and reality</w:t>
      </w:r>
    </w:p>
    <w:p>
      <w:r>
        <w:t>Secondary sources (scholarly analyses of Einstein's taste):</w:t>
      </w:r>
    </w:p>
    <w:p>
      <w:pPr>
        <w:pStyle w:val="ListBullet"/>
      </w:pPr>
      <w:r>
        <w:t>Holton, G. (1973) Thematic Origins of Scientific Thought — Identifies Einstein's core themata</w:t>
      </w:r>
    </w:p>
    <w:p>
      <w:pPr>
        <w:pStyle w:val="ListBullet"/>
      </w:pPr>
      <w:r>
        <w:t>Pais, A. (1982) Subtle is the Lord — Definitive scientific biography</w:t>
      </w:r>
    </w:p>
    <w:p>
      <w:pPr>
        <w:pStyle w:val="ListBullet"/>
      </w:pPr>
      <w:r>
        <w:t>van Dongen, J. (2010) Einstein's Unification — Documents the "physical strategy" to "mathematical strategy" shift</w:t>
      </w:r>
    </w:p>
    <w:p>
      <w:pPr>
        <w:pStyle w:val="ListBullet"/>
      </w:pPr>
      <w:r>
        <w:t>Norton, J. (1984, 1991, 2000) — Multiple papers on Einstein's methodology and thought experiments</w:t>
      </w:r>
    </w:p>
    <w:p>
      <w:pPr>
        <w:pStyle w:val="ListBullet"/>
      </w:pPr>
      <w:r>
        <w:t>Howard, D. (1985, 1990) — Einstein on locality, separability, and quantum theory</w:t>
      </w:r>
    </w:p>
    <w:p>
      <w:pPr>
        <w:pStyle w:val="ListBullet"/>
      </w:pPr>
      <w:r>
        <w:t>Fine, A. (1986) The Shaky Game — Einstein's realism and quantum debates</w:t>
      </w:r>
    </w:p>
    <w:p>
      <w:pPr>
        <w:pStyle w:val="ListBullet"/>
      </w:pPr>
      <w:r>
        <w:t>Stachel, J. (2002) Einstein from 'B' to 'Z' — Scholarly essays on Einstein's development</w:t>
      </w:r>
    </w:p>
    <w:p>
      <w:pPr>
        <w:pStyle w:val="Heading2"/>
      </w:pPr>
      <w:r>
        <w:t>2.3 Data Processing Pipeline</w:t>
      </w:r>
    </w:p>
    <w:p>
      <w:r>
        <w:t>Raw data is processed into structured "evidence records" with the following fields: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Unique identifier</w:t>
            </w:r>
          </w:p>
        </w:tc>
      </w:tr>
      <w:tr>
        <w:tc>
          <w:tcPr>
            <w:tcW w:type="dxa" w:w="3120"/>
          </w:tcPr>
          <w:p>
            <w:r>
              <w:t>content</w:t>
            </w:r>
          </w:p>
        </w:tc>
        <w:tc>
          <w:tcPr>
            <w:tcW w:type="dxa" w:w="3120"/>
          </w:tcPr>
          <w:p>
            <w:r>
              <w:t>text</w:t>
            </w:r>
          </w:p>
        </w:tc>
        <w:tc>
          <w:tcPr>
            <w:tcW w:type="dxa" w:w="3120"/>
          </w:tcPr>
          <w:p>
            <w:r>
              <w:t>The evidence text/observation</w:t>
            </w:r>
          </w:p>
        </w:tc>
      </w:tr>
      <w:tr>
        <w:tc>
          <w:tcPr>
            <w:tcW w:type="dxa" w:w="3120"/>
          </w:tcPr>
          <w:p>
            <w:r>
              <w:t>source_text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Full citation</w:t>
            </w:r>
          </w:p>
        </w:tc>
      </w:tr>
      <w:tr>
        <w:tc>
          <w:tcPr>
            <w:tcW w:type="dxa" w:w="3120"/>
          </w:tcPr>
          <w:p>
            <w:r>
              <w:t>source_type</w:t>
            </w:r>
          </w:p>
        </w:tc>
        <w:tc>
          <w:tcPr>
            <w:tcW w:type="dxa" w:w="3120"/>
          </w:tcPr>
          <w:p>
            <w:r>
              <w:t>enum</w:t>
            </w:r>
          </w:p>
        </w:tc>
        <w:tc>
          <w:tcPr>
            <w:tcW w:type="dxa" w:w="3120"/>
          </w:tcPr>
          <w:p>
            <w:r>
              <w:t>primary|secondary|tertiary|inference</w:t>
            </w:r>
          </w:p>
        </w:tc>
      </w:tr>
      <w:tr>
        <w:tc>
          <w:tcPr>
            <w:tcW w:type="dxa" w:w="3120"/>
          </w:tcPr>
          <w:p>
            <w:r>
              <w:t>confidence</w:t>
            </w:r>
          </w:p>
        </w:tc>
        <w:tc>
          <w:tcPr>
            <w:tcW w:type="dxa" w:w="3120"/>
          </w:tcPr>
          <w:p>
            <w:r>
              <w:t>enum</w:t>
            </w:r>
          </w:p>
        </w:tc>
        <w:tc>
          <w:tcPr>
            <w:tcW w:type="dxa" w:w="3120"/>
          </w:tcPr>
          <w:p>
            <w:r>
              <w:t>direct|strong|moderate|weak|speculative</w:t>
            </w:r>
          </w:p>
        </w:tc>
      </w:tr>
      <w:tr>
        <w:tc>
          <w:tcPr>
            <w:tcW w:type="dxa" w:w="3120"/>
          </w:tcPr>
          <w:p>
            <w:r>
              <w:t>year</w:t>
            </w:r>
          </w:p>
        </w:tc>
        <w:tc>
          <w:tcPr>
            <w:tcW w:type="dxa" w:w="3120"/>
          </w:tcPr>
          <w:p>
            <w:r>
              <w:t>int?</w:t>
            </w:r>
          </w:p>
        </w:tc>
        <w:tc>
          <w:tcPr>
            <w:tcW w:type="dxa" w:w="3120"/>
          </w:tcPr>
          <w:p>
            <w:r>
              <w:t>Year the evidence pertains to</w:t>
            </w:r>
          </w:p>
        </w:tc>
      </w:tr>
      <w:tr>
        <w:tc>
          <w:tcPr>
            <w:tcW w:type="dxa" w:w="3120"/>
          </w:tcPr>
          <w:p>
            <w:r>
              <w:t>period</w:t>
            </w:r>
          </w:p>
        </w:tc>
        <w:tc>
          <w:tcPr>
            <w:tcW w:type="dxa" w:w="3120"/>
          </w:tcPr>
          <w:p>
            <w:r>
              <w:t>string?</w:t>
            </w:r>
          </w:p>
        </w:tc>
        <w:tc>
          <w:tcPr>
            <w:tcW w:type="dxa" w:w="3120"/>
          </w:tcPr>
          <w:p>
            <w:r>
              <w:t>Named career period</w:t>
            </w:r>
          </w:p>
        </w:tc>
      </w:tr>
      <w:tr>
        <w:tc>
          <w:tcPr>
            <w:tcW w:type="dxa" w:w="3120"/>
          </w:tcPr>
          <w:p>
            <w:r>
              <w:t>relevant_axes</w:t>
            </w:r>
          </w:p>
        </w:tc>
        <w:tc>
          <w:tcPr>
            <w:tcW w:type="dxa" w:w="3120"/>
          </w:tcPr>
          <w:p>
            <w:r>
              <w:t>list[str]</w:t>
            </w:r>
          </w:p>
        </w:tc>
        <w:tc>
          <w:tcPr>
            <w:tcW w:type="dxa" w:w="3120"/>
          </w:tcPr>
          <w:p>
            <w:r>
              <w:t>Taste axes this evidence informs</w:t>
            </w:r>
          </w:p>
        </w:tc>
      </w:tr>
      <w:tr>
        <w:tc>
          <w:tcPr>
            <w:tcW w:type="dxa" w:w="3120"/>
          </w:tcPr>
          <w:p>
            <w:r>
              <w:t>axis_valence</w:t>
            </w:r>
          </w:p>
        </w:tc>
        <w:tc>
          <w:tcPr>
            <w:tcW w:type="dxa" w:w="3120"/>
          </w:tcPr>
          <w:p>
            <w:r>
              <w:t>dict</w:t>
            </w:r>
          </w:p>
        </w:tc>
        <w:tc>
          <w:tcPr>
            <w:tcW w:type="dxa" w:w="3120"/>
          </w:tcPr>
          <w:p>
            <w:r>
              <w:t>Per-axis support/contradiction scores</w:t>
            </w:r>
          </w:p>
        </w:tc>
      </w:tr>
    </w:tbl>
    <w:p/>
    <w:p>
      <w:r>
        <w:t>The processing pipeline: (1) Extract text/quotes from sources → (2) Annotate with source type and confidence level → (3) Tag relevant taste axes → (4) Assign temporal period → (5) Compute axis valence scores → (6) Generate embeddings for retrieval.</w:t>
      </w:r>
    </w:p>
    <w:p>
      <w:pPr>
        <w:pStyle w:val="Heading2"/>
      </w:pPr>
      <w:r>
        <w:t>2.4 Data Quality Controls</w:t>
      </w:r>
    </w:p>
    <w:p>
      <w:r>
        <w:t>Each evidence record undergoes quality control: (a) Source verification — primary quotes are cross-referenced against original publications; (b) Confidence calibration — two independent annotators rate confidence level; (c) Axis relevance validation — tagged axes must be justified by the content; (d) Temporal accuracy — years are verified against publication records and chronologies.</w:t>
      </w:r>
    </w:p>
    <w:p>
      <w:pPr>
        <w:pStyle w:val="Heading1"/>
      </w:pPr>
      <w:r>
        <w:t>3. Mathematical Formalization of Research Taste</w:t>
      </w:r>
    </w:p>
    <w:p>
      <w:pPr>
        <w:pStyle w:val="Heading2"/>
      </w:pPr>
      <w:r>
        <w:t>3.1 Taste as a Vector in Axis Space</w:t>
      </w:r>
    </w:p>
    <w:p>
      <w:r>
        <w:t>We define a scientist's research taste T at time t as a vector in an n-dimensional taste axis space:</w:t>
      </w:r>
    </w:p>
    <w:p>
      <w:pPr>
        <w:jc w:val="center"/>
      </w:pPr>
      <w:r>
        <w:rPr>
          <w:rFonts w:ascii="Cambria Math" w:hAnsi="Cambria Math"/>
          <w:i/>
        </w:rPr>
        <w:t>T(t) = [w₁(t)·a₁, w₂(t)·a₂, ..., wₙ(t)·aₙ]</w:t>
      </w:r>
    </w:p>
    <w:p>
      <w:r>
        <w:t>where aᵢ represents the i-th taste axis (e.g., simplicity, unity, invariance) and wᵢ(t) represents the time-dependent weight of that axis. The axes themselves are defined by their associated evidence corpus and keyword descriptors.</w:t>
      </w:r>
    </w:p>
    <w:p>
      <w:pPr>
        <w:pStyle w:val="Heading2"/>
      </w:pPr>
      <w:r>
        <w:t>3.2 Candidate Evaluation Function</w:t>
      </w:r>
    </w:p>
    <w:p>
      <w:r>
        <w:t>Given a candidate theory/question c and a taste profile T(t), the evaluation function computes an alignment score:</w:t>
      </w:r>
    </w:p>
    <w:p>
      <w:pPr>
        <w:jc w:val="center"/>
      </w:pPr>
      <w:r>
        <w:rPr>
          <w:rFonts w:ascii="Cambria Math" w:hAnsi="Cambria Math"/>
          <w:i/>
        </w:rPr>
        <w:t>S(c, T, t) = Σᵢ wᵢ(t) · f(c, aᵢ, Eᵢ(t))</w:t>
      </w:r>
    </w:p>
    <w:p>
      <w:r>
        <w:t>where f(c, aᵢ, Eᵢ(t)) is the axis-specific scoring function that measures how well candidate c aligns with axis aᵢ given evidence Eᵢ(t) available up to time t. The scoring function f is implemented via LLM-based evaluation grounded in retrieved evidence.</w:t>
      </w:r>
    </w:p>
    <w:p>
      <w:pPr>
        <w:pStyle w:val="Heading2"/>
      </w:pPr>
      <w:r>
        <w:t>3.3 Temporal Weight Evolution</w:t>
      </w:r>
    </w:p>
    <w:p>
      <w:r>
        <w:t>Axis weights evolve over career periods. We model this as a piecewise function with smooth transitions between periods. For Einstein, we identify four major periods with documented shifts in methodological emphasis: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Years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Dominant Axes</w:t>
            </w:r>
          </w:p>
        </w:tc>
      </w:tr>
      <w:tr>
        <w:tc>
          <w:tcPr>
            <w:tcW w:type="dxa" w:w="3120"/>
          </w:tcPr>
          <w:p>
            <w:r>
              <w:t>Early Revolutionary</w:t>
            </w:r>
          </w:p>
        </w:tc>
        <w:tc>
          <w:tcPr>
            <w:tcW w:type="dxa" w:w="3120"/>
          </w:tcPr>
          <w:p>
            <w:r>
              <w:t>1900–1905</w:t>
            </w:r>
          </w:p>
        </w:tc>
        <w:tc>
          <w:tcPr>
            <w:tcW w:type="dxa" w:w="3120"/>
          </w:tcPr>
          <w:p>
            <w:r>
              <w:t>Empirical grounding, Thought experiment, Simplicity</w:t>
            </w:r>
          </w:p>
        </w:tc>
      </w:tr>
      <w:tr>
        <w:tc>
          <w:tcPr>
            <w:tcW w:type="dxa" w:w="3120"/>
          </w:tcPr>
          <w:p>
            <w:r>
              <w:t>General Relativity</w:t>
            </w:r>
          </w:p>
        </w:tc>
        <w:tc>
          <w:tcPr>
            <w:tcW w:type="dxa" w:w="3120"/>
          </w:tcPr>
          <w:p>
            <w:r>
              <w:t>1906–1915</w:t>
            </w:r>
          </w:p>
        </w:tc>
        <w:tc>
          <w:tcPr>
            <w:tcW w:type="dxa" w:w="3120"/>
          </w:tcPr>
          <w:p>
            <w:r>
              <w:t>Invariance, Unity, Causal continuity</w:t>
            </w:r>
          </w:p>
        </w:tc>
      </w:tr>
      <w:tr>
        <w:tc>
          <w:tcPr>
            <w:tcW w:type="dxa" w:w="3120"/>
          </w:tcPr>
          <w:p>
            <w:r>
              <w:t>Quantum Debates</w:t>
            </w:r>
          </w:p>
        </w:tc>
        <w:tc>
          <w:tcPr>
            <w:tcW w:type="dxa" w:w="3120"/>
          </w:tcPr>
          <w:p>
            <w:r>
              <w:t>1916–1935</w:t>
            </w:r>
          </w:p>
        </w:tc>
        <w:tc>
          <w:tcPr>
            <w:tcW w:type="dxa" w:w="3120"/>
          </w:tcPr>
          <w:p>
            <w:r>
              <w:t>Physical reality, Causal continuity, Mathematical beauty</w:t>
            </w:r>
          </w:p>
        </w:tc>
      </w:tr>
      <w:tr>
        <w:tc>
          <w:tcPr>
            <w:tcW w:type="dxa" w:w="3120"/>
          </w:tcPr>
          <w:p>
            <w:r>
              <w:t>Unified Field Theory</w:t>
            </w:r>
          </w:p>
        </w:tc>
        <w:tc>
          <w:tcPr>
            <w:tcW w:type="dxa" w:w="3120"/>
          </w:tcPr>
          <w:p>
            <w:r>
              <w:t>1936–1955</w:t>
            </w:r>
          </w:p>
        </w:tc>
        <w:tc>
          <w:tcPr>
            <w:tcW w:type="dxa" w:w="3120"/>
          </w:tcPr>
          <w:p>
            <w:r>
              <w:t>Unity, Mathematical beauty, Simplicity</w:t>
            </w:r>
          </w:p>
        </w:tc>
      </w:tr>
    </w:tbl>
    <w:p/>
    <w:p>
      <w:pPr>
        <w:pStyle w:val="Heading2"/>
      </w:pPr>
      <w:r>
        <w:t>3.4 Evidence-Grounded Scoring</w:t>
      </w:r>
    </w:p>
    <w:p>
      <w:r>
        <w:t>The axis scoring function f decomposes into: (a) an evidence retrieval step that finds relevant historical evidence using semantic similarity; (b) an LLM evaluation step that scores the candidate against the axis given the retrieved evidence; (c) a confidence estimation step that reflects the quality and quantity of supporting evidence. Crucially, scores without supporting evidence are flagged as "model inference" rather than "evidence-based," maintaining the distinction required for scholarly integrity.</w:t>
      </w:r>
    </w:p>
    <w:p>
      <w:pPr>
        <w:pStyle w:val="Heading2"/>
      </w:pPr>
      <w:r>
        <w:t>3.5 Fitting the Taste Profile</w:t>
      </w:r>
    </w:p>
    <w:p>
      <w:r>
        <w:t>The taste profile can be "fitted" to a scientist using a two-stage process:</w:t>
      </w:r>
    </w:p>
    <w:p>
      <w:r>
        <w:t>Stage 1 (Evidence-based initialization): Extract initial axis weights from the relative frequency and strength of evidence for each axis in each period. This gives a prior distribution over weights based purely on documented evidence.</w:t>
      </w:r>
    </w:p>
    <w:p>
      <w:r>
        <w:t>Stage 2 (Behavioral calibration): Refine weights using known preference data — documented cases where the scientist chose between alternatives (e.g., Einstein choosing GR over Nordström's scalar theory). Optimize weights to reproduce known choices via pairwise ranking loss:</w:t>
      </w:r>
    </w:p>
    <w:p>
      <w:pPr>
        <w:jc w:val="center"/>
      </w:pPr>
      <w:r>
        <w:rPr>
          <w:rFonts w:ascii="Cambria Math" w:hAnsi="Cambria Math"/>
          <w:i/>
        </w:rPr>
        <w:t>L = Σⱼ max(0, S(c⁻, T, t) - S(c⁺, T, t) + ε)</w:t>
      </w:r>
    </w:p>
    <w:p>
      <w:r>
        <w:t>where c⁺ is the preferred candidate and c⁻ is the rejected one in documented historical choices, and ε is a margin parameter.</w:t>
      </w:r>
    </w:p>
    <w:p>
      <w:pPr>
        <w:pStyle w:val="Heading1"/>
      </w:pPr>
      <w:r>
        <w:t>4. Benchmark Construction</w:t>
      </w:r>
    </w:p>
    <w:p>
      <w:pPr>
        <w:pStyle w:val="Heading2"/>
      </w:pPr>
      <w:r>
        <w:t>4.1 Benchmark Design Principles</w:t>
      </w:r>
    </w:p>
    <w:p>
      <w:r>
        <w:t>The benchmark evaluates whether the taste model accurately captures a scientist's documented preferences. Design principles:</w:t>
      </w:r>
    </w:p>
    <w:p>
      <w:pPr>
        <w:pStyle w:val="ListBullet"/>
      </w:pPr>
      <w:r>
        <w:t>Historical grounding: Every benchmark case must be supported by documented evidence of the scientist's actual preference.</w:t>
      </w:r>
    </w:p>
    <w:p>
      <w:pPr>
        <w:pStyle w:val="ListBullet"/>
      </w:pPr>
      <w:r>
        <w:t>Difficulty stratification: Cases are organized by difficulty (easy/medium/hard) based on the ambiguity of the historical record.</w:t>
      </w:r>
    </w:p>
    <w:p>
      <w:pPr>
        <w:pStyle w:val="ListBullet"/>
      </w:pPr>
      <w:r>
        <w:t>Temporal sensitivity: Some cases test whether the model correctly adjusts for different career periods.</w:t>
      </w:r>
    </w:p>
    <w:p>
      <w:pPr>
        <w:pStyle w:val="ListBullet"/>
      </w:pPr>
      <w:r>
        <w:t>Axis coverage: The benchmark covers all defined taste axes, with multiple cases per axis.</w:t>
      </w:r>
    </w:p>
    <w:p>
      <w:pPr>
        <w:pStyle w:val="ListBullet"/>
      </w:pPr>
      <w:r>
        <w:t>Negative testing: Include cases where the scientist's preference contradicts the naive expectation (e.g., Einstein sometimes prioritizing mathematical beauty over simplicity).</w:t>
      </w:r>
    </w:p>
    <w:p>
      <w:pPr>
        <w:pStyle w:val="Heading2"/>
      </w:pPr>
      <w:r>
        <w:t>4.2 Benchmark Case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Binary Preference</w:t>
            </w:r>
          </w:p>
        </w:tc>
        <w:tc>
          <w:tcPr>
            <w:tcW w:type="dxa" w:w="2340"/>
          </w:tcPr>
          <w:p>
            <w:r>
              <w:t>A vs B, known preference</w:t>
            </w:r>
          </w:p>
        </w:tc>
        <w:tc>
          <w:tcPr>
            <w:tcW w:type="dxa" w:w="2340"/>
          </w:tcPr>
          <w:p>
            <w:r>
              <w:t>Accuracy</w:t>
            </w:r>
          </w:p>
        </w:tc>
        <w:tc>
          <w:tcPr>
            <w:tcW w:type="dxa" w:w="2340"/>
          </w:tcPr>
          <w:p>
            <w:r>
              <w:t>SR vs Lorentz ether theory</w:t>
            </w:r>
          </w:p>
        </w:tc>
      </w:tr>
      <w:tr>
        <w:tc>
          <w:tcPr>
            <w:tcW w:type="dxa" w:w="2340"/>
          </w:tcPr>
          <w:p>
            <w:r>
              <w:t>Ranking</w:t>
            </w:r>
          </w:p>
        </w:tc>
        <w:tc>
          <w:tcPr>
            <w:tcW w:type="dxa" w:w="2340"/>
          </w:tcPr>
          <w:p>
            <w:r>
              <w:t>Rank N candidates, known order</w:t>
            </w:r>
          </w:p>
        </w:tc>
        <w:tc>
          <w:tcPr>
            <w:tcW w:type="dxa" w:w="2340"/>
          </w:tcPr>
          <w:p>
            <w:r>
              <w:t>Kendall τ</w:t>
            </w:r>
          </w:p>
        </w:tc>
        <w:tc>
          <w:tcPr>
            <w:tcW w:type="dxa" w:w="2340"/>
          </w:tcPr>
          <w:p>
            <w:r>
              <w:t>Rank interpretations of QM</w:t>
            </w:r>
          </w:p>
        </w:tc>
      </w:tr>
      <w:tr>
        <w:tc>
          <w:tcPr>
            <w:tcW w:type="dxa" w:w="2340"/>
          </w:tcPr>
          <w:p>
            <w:r>
              <w:t>Temporal</w:t>
            </w:r>
          </w:p>
        </w:tc>
        <w:tc>
          <w:tcPr>
            <w:tcW w:type="dxa" w:w="2340"/>
          </w:tcPr>
          <w:p>
            <w:r>
              <w:t>Same question, different cutoffs</w:t>
            </w:r>
          </w:p>
        </w:tc>
        <w:tc>
          <w:tcPr>
            <w:tcW w:type="dxa" w:w="2340"/>
          </w:tcPr>
          <w:p>
            <w:r>
              <w:t>Score difference sign</w:t>
            </w:r>
          </w:p>
        </w:tc>
        <w:tc>
          <w:tcPr>
            <w:tcW w:type="dxa" w:w="2340"/>
          </w:tcPr>
          <w:p>
            <w:r>
              <w:t>Mathematical beauty pre/post 1920</w:t>
            </w:r>
          </w:p>
        </w:tc>
      </w:tr>
      <w:tr>
        <w:tc>
          <w:tcPr>
            <w:tcW w:type="dxa" w:w="2340"/>
          </w:tcPr>
          <w:p>
            <w:r>
              <w:t>Axis Isolation</w:t>
            </w:r>
          </w:p>
        </w:tc>
        <w:tc>
          <w:tcPr>
            <w:tcW w:type="dxa" w:w="2340"/>
          </w:tcPr>
          <w:p>
            <w:r>
              <w:t>Test single axis scoring</w:t>
            </w:r>
          </w:p>
        </w:tc>
        <w:tc>
          <w:tcPr>
            <w:tcW w:type="dxa" w:w="2340"/>
          </w:tcPr>
          <w:p>
            <w:r>
              <w:t>Correlation with expert rating</w:t>
            </w:r>
          </w:p>
        </w:tc>
        <w:tc>
          <w:tcPr>
            <w:tcW w:type="dxa" w:w="2340"/>
          </w:tcPr>
          <w:p>
            <w:r>
              <w:t>Unity score for unification attempts</w:t>
            </w:r>
          </w:p>
        </w:tc>
      </w:tr>
    </w:tbl>
    <w:p/>
    <w:p>
      <w:pPr>
        <w:pStyle w:val="Heading2"/>
      </w:pPr>
      <w:r>
        <w:t>4.3 Sample Selection</w:t>
      </w:r>
    </w:p>
    <w:p>
      <w:r>
        <w:t>Benchmark samples are selected as follows:</w:t>
      </w:r>
    </w:p>
    <w:p>
      <w:r>
        <w:t>Training set (for weight fitting): 20 documented preference pairs, balanced across taste axes and career periods. Sources: Einstein's explicit methodological statements, documented theory choices (e.g., choosing GR over competitors), and expressed evaluations of others' work (e.g., responses to quantum mechanics).</w:t>
      </w:r>
    </w:p>
    <w:p>
      <w:r>
        <w:t>Validation set: 10 preference pairs used for hyperparameter tuning (number of evidence records, LLM temperature, confidence thresholds).</w:t>
      </w:r>
    </w:p>
    <w:p>
      <w:r>
        <w:t>Test set: 15 held-out preference pairs with difficulty stratification: 5 easy (clear historical preferences), 5 medium (nuanced/context-dependent), 5 hard (temporal sensitivity or contradictory evidence).</w:t>
      </w:r>
    </w:p>
    <w:p>
      <w:r>
        <w:t>Data split criteria: (a) No temporal leakage — training cases from earlier periods than test cases where possible; (b) No evidence overlap — evidence used to construct training cases is excluded from test case retrieval; (c) Balanced axis coverage — each axis appears in at least 3 cases per split.</w:t>
      </w:r>
    </w:p>
    <w:p>
      <w:pPr>
        <w:pStyle w:val="Heading2"/>
      </w:pPr>
      <w:r>
        <w:t>4.4 Evaluation Metrics</w:t>
      </w:r>
    </w:p>
    <w:p>
      <w:r>
        <w:t>Primary metrics: (1) Pairwise accuracy — fraction of binary preferences correctly predicted; (2) Kendall τ rank correlation — for ranking tasks; (3) Evidence utilization — fraction of scores grounded in retrieved evidence. Secondary metrics: (4) Calibration — correlation between model confidence and accuracy; (5) Temporal sensitivity — score change in expected direction across periods; (6) Axis decomposability — do individual axis scores contribute meaningful information beyond the aggregate?</w:t>
      </w:r>
    </w:p>
    <w:p>
      <w:pPr>
        <w:pStyle w:val="Heading2"/>
      </w:pPr>
      <w:r>
        <w:t>4.5 Ablation Studies</w:t>
      </w:r>
    </w:p>
    <w:p>
      <w:r>
        <w:t>Planned ablation experiments:</w:t>
      </w:r>
    </w:p>
    <w:p>
      <w:pPr>
        <w:pStyle w:val="ListBullet"/>
      </w:pPr>
      <w:r>
        <w:t>No evidence retrieval (LLM only): Test whether RAG improves over pure LLM reasoning.</w:t>
      </w:r>
    </w:p>
    <w:p>
      <w:pPr>
        <w:pStyle w:val="ListBullet"/>
      </w:pPr>
      <w:r>
        <w:t>No temporal cutoff: Test whether temporal awareness improves accuracy.</w:t>
      </w:r>
    </w:p>
    <w:p>
      <w:pPr>
        <w:pStyle w:val="ListBullet"/>
      </w:pPr>
      <w:r>
        <w:t>Equal weights (no period adjustment): Test whether period-specific weights matter.</w:t>
      </w:r>
    </w:p>
    <w:p>
      <w:pPr>
        <w:pStyle w:val="ListBullet"/>
      </w:pPr>
      <w:r>
        <w:t>Single axis only: Test each axis in isolation for independent contribution.</w:t>
      </w:r>
    </w:p>
    <w:p>
      <w:pPr>
        <w:pStyle w:val="ListBullet"/>
      </w:pPr>
      <w:r>
        <w:t>Primary sources only vs. all sources: Test whether secondary sources add value.</w:t>
      </w:r>
    </w:p>
    <w:p>
      <w:pPr>
        <w:pStyle w:val="ListBullet"/>
      </w:pPr>
      <w:r>
        <w:t>Embedding retrieval vs. keyword retrieval: Compare retrieval strategies.</w:t>
      </w:r>
    </w:p>
    <w:p>
      <w:pPr>
        <w:pStyle w:val="ListBullet"/>
      </w:pPr>
      <w:r>
        <w:t>Different LLM backbones: Compare Claude, GPT-4, Llama across metrics.</w:t>
      </w:r>
    </w:p>
    <w:p>
      <w:pPr>
        <w:pStyle w:val="ListBullet"/>
      </w:pPr>
      <w:r>
        <w:t>Evidence quantity: Vary top-k from 1 to 20 to find optimal evidence density.</w:t>
      </w:r>
    </w:p>
    <w:p>
      <w:pPr>
        <w:pStyle w:val="Heading1"/>
      </w:pPr>
      <w:r>
        <w:t>5. System Design and Implementation</w:t>
      </w:r>
    </w:p>
    <w:p>
      <w:pPr>
        <w:pStyle w:val="Heading2"/>
      </w:pPr>
      <w:r>
        <w:t>5.1 Architecture Overview</w:t>
      </w:r>
    </w:p>
    <w:p>
      <w:r>
        <w:t>The system follows a Retrieval-Augmented Generation (RAG) architecture with these components:</w:t>
      </w:r>
    </w:p>
    <w:p>
      <w:pPr>
        <w:pStyle w:val="ListBullet"/>
      </w:pPr>
      <w:r>
        <w:t>Evidence Store: Structured database of historical evidence records with metadata</w:t>
      </w:r>
    </w:p>
    <w:p>
      <w:pPr>
        <w:pStyle w:val="ListBullet"/>
      </w:pPr>
      <w:r>
        <w:t>Evidence Retriever: Semantic search over the evidence corpus (sentence-transformers + FAISS)</w:t>
      </w:r>
    </w:p>
    <w:p>
      <w:pPr>
        <w:pStyle w:val="ListBullet"/>
      </w:pPr>
      <w:r>
        <w:t>Taste Evaluator: LLM-based scoring of candidates against taste axes</w:t>
      </w:r>
    </w:p>
    <w:p>
      <w:pPr>
        <w:pStyle w:val="ListBullet"/>
      </w:pPr>
      <w:r>
        <w:t>Taste Scorer: Deterministic aggregation of axis scores with period-specific weights</w:t>
      </w:r>
    </w:p>
    <w:p>
      <w:pPr>
        <w:pStyle w:val="ListBullet"/>
      </w:pPr>
      <w:r>
        <w:t>Pipeline Orchestrator: End-to-end coordination of retrieval, evaluation, and scoring</w:t>
      </w:r>
    </w:p>
    <w:p>
      <w:pPr>
        <w:pStyle w:val="ListBullet"/>
      </w:pPr>
      <w:r>
        <w:t>Agent Interface: Conversational wrapper for interactive use</w:t>
      </w:r>
    </w:p>
    <w:p>
      <w:pPr>
        <w:pStyle w:val="ListBullet"/>
      </w:pPr>
      <w:r>
        <w:t>Skill Wrapper: Claude Code skill for community distribution</w:t>
      </w:r>
    </w:p>
    <w:p>
      <w:pPr>
        <w:pStyle w:val="Heading2"/>
      </w:pPr>
      <w:r>
        <w:t>5.2 LLM Integration Strategy</w:t>
      </w:r>
    </w:p>
    <w:p>
      <w:r>
        <w:t>The system uses LLMs in a carefully constrained manner:</w:t>
      </w:r>
    </w:p>
    <w:p>
      <w:r>
        <w:t>(1) System prompt engineering: The LLM receives a detailed system prompt that: (a) defines all taste axes with historical grounding; (b) enforces temporal cutoff awareness; (c) requires evidence citation for each score; (d) explicitly prohibits role-playing; (e) mandates separate reporting of evidence-based vs. inferred assessments.</w:t>
      </w:r>
    </w:p>
    <w:p>
      <w:r>
        <w:t>(2) Structured output: The LLM produces JSON-formatted responses with per-axis scores, evidence IDs, confidence levels, and explanations. This ensures machine-parseable output while maintaining interpretability.</w:t>
      </w:r>
    </w:p>
    <w:p>
      <w:r>
        <w:t>(3) Evidence grounding: The LLM receives retrieved evidence as context, anchoring its evaluations in specific historical records rather than relying on parametric knowledge.</w:t>
      </w:r>
    </w:p>
    <w:p>
      <w:pPr>
        <w:pStyle w:val="Heading2"/>
      </w:pPr>
      <w:r>
        <w:t>5.3 Key Implementation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LLM Provider</w:t>
            </w:r>
          </w:p>
        </w:tc>
        <w:tc>
          <w:tcPr>
            <w:tcW w:type="dxa" w:w="3120"/>
          </w:tcPr>
          <w:p>
            <w:r>
              <w:t>Anthropic Claude (primary), OpenAI GPT-4 (secondary)</w:t>
            </w:r>
          </w:p>
        </w:tc>
        <w:tc>
          <w:tcPr>
            <w:tcW w:type="dxa" w:w="3120"/>
          </w:tcPr>
          <w:p>
            <w:r>
              <w:t>Claude's strong instruction following and JSON output</w:t>
            </w:r>
          </w:p>
        </w:tc>
      </w:tr>
      <w:tr>
        <w:tc>
          <w:tcPr>
            <w:tcW w:type="dxa" w:w="3120"/>
          </w:tcPr>
          <w:p>
            <w:r>
              <w:t>Embedding Model</w:t>
            </w:r>
          </w:p>
        </w:tc>
        <w:tc>
          <w:tcPr>
            <w:tcW w:type="dxa" w:w="3120"/>
          </w:tcPr>
          <w:p>
            <w:r>
              <w:t>sentence-transformers (all-MiniLM-L6-v2)</w:t>
            </w:r>
          </w:p>
        </w:tc>
        <w:tc>
          <w:tcPr>
            <w:tcW w:type="dxa" w:w="3120"/>
          </w:tcPr>
          <w:p>
            <w:r>
              <w:t>Good balance of quality and speed for evidence retrieval</w:t>
            </w:r>
          </w:p>
        </w:tc>
      </w:tr>
      <w:tr>
        <w:tc>
          <w:tcPr>
            <w:tcW w:type="dxa" w:w="3120"/>
          </w:tcPr>
          <w:p>
            <w:r>
              <w:t>Vector Store</w:t>
            </w:r>
          </w:p>
        </w:tc>
        <w:tc>
          <w:tcPr>
            <w:tcW w:type="dxa" w:w="3120"/>
          </w:tcPr>
          <w:p>
            <w:r>
              <w:t>FAISS (CPU)</w:t>
            </w:r>
          </w:p>
        </w:tc>
        <w:tc>
          <w:tcPr>
            <w:tcW w:type="dxa" w:w="3120"/>
          </w:tcPr>
          <w:p>
            <w:r>
              <w:t>No GPU required, sufficient for &lt;10K records</w:t>
            </w:r>
          </w:p>
        </w:tc>
      </w:tr>
      <w:tr>
        <w:tc>
          <w:tcPr>
            <w:tcW w:type="dxa" w:w="3120"/>
          </w:tcPr>
          <w:p>
            <w:r>
              <w:t>Scoring</w:t>
            </w:r>
          </w:p>
        </w:tc>
        <w:tc>
          <w:tcPr>
            <w:tcW w:type="dxa" w:w="3120"/>
          </w:tcPr>
          <w:p>
            <w:r>
              <w:t>Weighted axis aggregation</w:t>
            </w:r>
          </w:p>
        </w:tc>
        <w:tc>
          <w:tcPr>
            <w:tcW w:type="dxa" w:w="3120"/>
          </w:tcPr>
          <w:p>
            <w:r>
              <w:t>Interpretable, evidence-traceable</w:t>
            </w:r>
          </w:p>
        </w:tc>
      </w:tr>
      <w:tr>
        <w:tc>
          <w:tcPr>
            <w:tcW w:type="dxa" w:w="3120"/>
          </w:tcPr>
          <w:p>
            <w:r>
              <w:t>Temporal Model</w:t>
            </w:r>
          </w:p>
        </w:tc>
        <w:tc>
          <w:tcPr>
            <w:tcW w:type="dxa" w:w="3120"/>
          </w:tcPr>
          <w:p>
            <w:r>
              <w:t>Piecewise constant with period boundaries</w:t>
            </w:r>
          </w:p>
        </w:tc>
        <w:tc>
          <w:tcPr>
            <w:tcW w:type="dxa" w:w="3120"/>
          </w:tcPr>
          <w:p>
            <w:r>
              <w:t>Matches documented career periods</w:t>
            </w:r>
          </w:p>
        </w:tc>
      </w:tr>
      <w:tr>
        <w:tc>
          <w:tcPr>
            <w:tcW w:type="dxa" w:w="3120"/>
          </w:tcPr>
          <w:p>
            <w:r>
              <w:t>Output Format</w:t>
            </w:r>
          </w:p>
        </w:tc>
        <w:tc>
          <w:tcPr>
            <w:tcW w:type="dxa" w:w="3120"/>
          </w:tcPr>
          <w:p>
            <w:r>
              <w:t>Structured JSON with evidence links</w:t>
            </w:r>
          </w:p>
        </w:tc>
        <w:tc>
          <w:tcPr>
            <w:tcW w:type="dxa" w:w="3120"/>
          </w:tcPr>
          <w:p>
            <w:r>
              <w:t>Machine-parseable, auditable</w:t>
            </w:r>
          </w:p>
        </w:tc>
      </w:tr>
      <w:tr>
        <w:tc>
          <w:tcPr>
            <w:tcW w:type="dxa" w:w="3120"/>
          </w:tcPr>
          <w:p>
            <w:r>
              <w:t>Data Format</w:t>
            </w:r>
          </w:p>
        </w:tc>
        <w:tc>
          <w:tcPr>
            <w:tcW w:type="dxa" w:w="3120"/>
          </w:tcPr>
          <w:p>
            <w:r>
              <w:t>JSON/JSONL evidence records</w:t>
            </w:r>
          </w:p>
        </w:tc>
        <w:tc>
          <w:tcPr>
            <w:tcW w:type="dxa" w:w="3120"/>
          </w:tcPr>
          <w:p>
            <w:r>
              <w:t>Simple, portable, version-controllable</w:t>
            </w:r>
          </w:p>
        </w:tc>
      </w:tr>
    </w:tbl>
    <w:p/>
    <w:p>
      <w:pPr>
        <w:pStyle w:val="Heading2"/>
      </w:pPr>
      <w:r>
        <w:t>5.4 Project Module Structure</w:t>
      </w:r>
    </w:p>
    <w:p>
      <w:r>
        <w:t>The Python package (einstein_taste) is organized as follows:</w:t>
      </w:r>
    </w:p>
    <w:p>
      <w:pPr>
        <w:pStyle w:val="ListBullet"/>
      </w:pPr>
      <w:r>
        <w:t>config/settings.py — Taste axes definitions, temporal periods, model configuration</w:t>
      </w:r>
    </w:p>
    <w:p>
      <w:pPr>
        <w:pStyle w:val="ListBullet"/>
      </w:pPr>
      <w:r>
        <w:t>core/evidence.py — Evidence record data model and store with filtering</w:t>
      </w:r>
    </w:p>
    <w:p>
      <w:pPr>
        <w:pStyle w:val="ListBullet"/>
      </w:pPr>
      <w:r>
        <w:t>core/retriever.py — RAG retrieval component (keyword + semantic search)</w:t>
      </w:r>
    </w:p>
    <w:p>
      <w:pPr>
        <w:pStyle w:val="ListBullet"/>
      </w:pPr>
      <w:r>
        <w:t>core/taste_model.py — Taste scoring model with axis aggregation</w:t>
      </w:r>
    </w:p>
    <w:p>
      <w:pPr>
        <w:pStyle w:val="ListBullet"/>
      </w:pPr>
      <w:r>
        <w:t>core/evaluator.py — LLM-based axis evaluation with prompt engineering</w:t>
      </w:r>
    </w:p>
    <w:p>
      <w:pPr>
        <w:pStyle w:val="ListBullet"/>
      </w:pPr>
      <w:r>
        <w:t>core/pipeline.py — End-to-end orchestration pipeline</w:t>
      </w:r>
    </w:p>
    <w:p>
      <w:pPr>
        <w:pStyle w:val="ListBullet"/>
      </w:pPr>
      <w:r>
        <w:t>data/loader.py — Data loading and serialization</w:t>
      </w:r>
    </w:p>
    <w:p>
      <w:pPr>
        <w:pStyle w:val="ListBullet"/>
      </w:pPr>
      <w:r>
        <w:t>data/fetcher.py — Online data fetching from public sources</w:t>
      </w:r>
    </w:p>
    <w:p>
      <w:pPr>
        <w:pStyle w:val="ListBullet"/>
      </w:pPr>
      <w:r>
        <w:t>data/seed_evidence.py — Built-in seed evidence corpus</w:t>
      </w:r>
    </w:p>
    <w:p>
      <w:pPr>
        <w:pStyle w:val="ListBullet"/>
      </w:pPr>
      <w:r>
        <w:t>evaluation/benchmark.py — Benchmark cases and evaluation metrics</w:t>
      </w:r>
    </w:p>
    <w:p>
      <w:pPr>
        <w:pStyle w:val="ListBullet"/>
      </w:pPr>
      <w:r>
        <w:t>agents/taste_agent.py — Conversational agent wrapper</w:t>
      </w:r>
    </w:p>
    <w:p>
      <w:pPr>
        <w:pStyle w:val="ListBullet"/>
      </w:pPr>
      <w:r>
        <w:t>skills/taste_skill.py — Claude Code skill interface</w:t>
      </w:r>
    </w:p>
    <w:p>
      <w:pPr>
        <w:pStyle w:val="ListBullet"/>
      </w:pPr>
      <w:r>
        <w:t>utils/formatting.py — Output formatting utilities</w:t>
      </w:r>
    </w:p>
    <w:p>
      <w:pPr>
        <w:pStyle w:val="ListBullet"/>
      </w:pPr>
      <w:r>
        <w:t>cli.py — Command-line interface</w:t>
      </w:r>
    </w:p>
    <w:p>
      <w:pPr>
        <w:pStyle w:val="Heading2"/>
      </w:pPr>
      <w:r>
        <w:t>5.5 Extensibility: Adding New Scientists</w:t>
      </w:r>
    </w:p>
    <w:p>
      <w:r>
        <w:t>The system is designed for extensibility. To add a new scientist (e.g., Feynman, Newton, Mendel), one needs to: (1) Define taste axes specific to that scientist (may overlap with Einstein's axes but with different weights); (2) Collect evidence records from their writings and scholarly analyses; (3) Define temporal periods with dominant axes; (4) Create benchmark cases from documented preferences; (5) Calibrate axis weights using the pairwise ranking loss.</w:t>
      </w:r>
    </w:p>
    <w:p>
      <w:pPr>
        <w:pStyle w:val="Heading1"/>
      </w:pPr>
      <w:r>
        <w:t>6. Development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3120"/>
          </w:tcPr>
          <w:p>
            <w:r>
              <w:t>Phase 1: Prototype</w:t>
            </w:r>
          </w:p>
        </w:tc>
        <w:tc>
          <w:tcPr>
            <w:tcW w:type="dxa" w:w="3120"/>
          </w:tcPr>
          <w:p>
            <w:r>
              <w:t>Weeks 1–2</w:t>
            </w:r>
          </w:p>
        </w:tc>
        <w:tc>
          <w:tcPr>
            <w:tcW w:type="dxa" w:w="3120"/>
          </w:tcPr>
          <w:p>
            <w:r>
              <w:t>Working pipeline with seed data, CLI, basic benchmark (6 cases)</w:t>
            </w:r>
          </w:p>
        </w:tc>
      </w:tr>
      <w:tr>
        <w:tc>
          <w:tcPr>
            <w:tcW w:type="dxa" w:w="3120"/>
          </w:tcPr>
          <w:p>
            <w:r>
              <w:t>Phase 2: Data Enrichment</w:t>
            </w:r>
          </w:p>
        </w:tc>
        <w:tc>
          <w:tcPr>
            <w:tcW w:type="dxa" w:w="3120"/>
          </w:tcPr>
          <w:p>
            <w:r>
              <w:t>Weeks 3–4</w:t>
            </w:r>
          </w:p>
        </w:tc>
        <w:tc>
          <w:tcPr>
            <w:tcW w:type="dxa" w:w="3120"/>
          </w:tcPr>
          <w:p>
            <w:r>
              <w:t>Full evidence corpus (200+ records), semantic retrieval, expanded benchmark (45 cases)</w:t>
            </w:r>
          </w:p>
        </w:tc>
      </w:tr>
      <w:tr>
        <w:tc>
          <w:tcPr>
            <w:tcW w:type="dxa" w:w="3120"/>
          </w:tcPr>
          <w:p>
            <w:r>
              <w:t>Phase 3: Calibration</w:t>
            </w:r>
          </w:p>
        </w:tc>
        <w:tc>
          <w:tcPr>
            <w:tcW w:type="dxa" w:w="3120"/>
          </w:tcPr>
          <w:p>
            <w:r>
              <w:t>Weeks 5–6</w:t>
            </w:r>
          </w:p>
        </w:tc>
        <w:tc>
          <w:tcPr>
            <w:tcW w:type="dxa" w:w="3120"/>
          </w:tcPr>
          <w:p>
            <w:r>
              <w:t>Weight fitting via pairwise loss, ablation experiments, multi-LLM comparison</w:t>
            </w:r>
          </w:p>
        </w:tc>
      </w:tr>
      <w:tr>
        <w:tc>
          <w:tcPr>
            <w:tcW w:type="dxa" w:w="3120"/>
          </w:tcPr>
          <w:p>
            <w:r>
              <w:t>Phase 4: Extension</w:t>
            </w:r>
          </w:p>
        </w:tc>
        <w:tc>
          <w:tcPr>
            <w:tcW w:type="dxa" w:w="3120"/>
          </w:tcPr>
          <w:p>
            <w:r>
              <w:t>Weeks 7–8</w:t>
            </w:r>
          </w:p>
        </w:tc>
        <w:tc>
          <w:tcPr>
            <w:tcW w:type="dxa" w:w="3120"/>
          </w:tcPr>
          <w:p>
            <w:r>
              <w:t>Add second scientist (Feynman), cross-scientist comparison, community skill release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