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2023-06-06</w:t>
      </w:r>
    </w:p>
    <w:p>
      <w:pPr>
        <w:pStyle w:val="FirstParagraph"/>
      </w:pP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2022-01-11 and 2022-01-22 and were retrieved between</w:t>
      </w:r>
      <w:r>
        <w:t xml:space="preserve"> </w:t>
      </w:r>
      <w:r>
        <w:t xml:space="preserve">2022-02-22 and 2022-02-26.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1.</w:t>
      </w:r>
      <w:r>
        <w:t xml:space="preserve"> </w:t>
      </w:r>
      <w:r>
        <w:t xml:space="preserve">Start and end dates for each sampling occasion in the Tucson Mountain District of Saguaro National Park,</w:t>
      </w:r>
      <w:r>
        <w:t xml:space="preserve"> </w:t>
      </w:r>
      <w:r>
        <w:t xml:space="preserve">2022.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pStyle w:val="BodyText"/>
      </w:pPr>
      <w:r>
        <w:drawing>
          <wp:inline>
            <wp:extent cx="4620126" cy="323408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Park, 2022. No. photos is the</w:t>
      </w:r>
      <w:r>
        <w:t xml:space="preserve"> </w:t>
      </w:r>
      <w:r>
        <w:t xml:space="preserve">the total number of photographs obtained (multiple photos may occur at the same</w:t>
      </w:r>
      <w:r>
        <w:t xml:space="preserve"> </w:t>
      </w:r>
      <w:r>
        <w:t xml:space="preserve">camera location in the same day). No. detections is the number of detections to</w:t>
      </w:r>
      <w:r>
        <w:t xml:space="preserve"> </w:t>
      </w:r>
      <w:r>
        <w:t xml:space="preserve">be used in an occupancy modeling framework (maximum of one photographic</w:t>
      </w:r>
      <w:r>
        <w:t xml:space="preserve"> </w:t>
      </w:r>
      <w:r>
        <w:t xml:space="preserve">detection per camera location per sampling period). No. locations is the unique</w:t>
      </w:r>
      <w:r>
        <w:t xml:space="preserve"> </w:t>
      </w:r>
      <w:r>
        <w:t xml:space="preserve">number of camera locations where the species was photographed in 2022.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1" w:name="X5aac9e737459b42a3ca74c866d85c7c32418665"/>
    <w:p>
      <w:pPr>
        <w:pStyle w:val="Heading1"/>
      </w:pPr>
      <w:r>
        <w:t xml:space="preserve">Species 1 (create species sections in a loop)</w:t>
      </w:r>
    </w:p>
    <w:p>
      <w:pPr>
        <w:pStyle w:val="SourceCode"/>
      </w:pPr>
      <w:r>
        <w:rPr>
          <w:rStyle w:val="VerbatimChar"/>
        </w:rPr>
        <w:t xml:space="preserve">##                                occ </w:t>
      </w:r>
      <w:r>
        <w:br/>
      </w:r>
      <w:r>
        <w:rPr>
          <w:rStyle w:val="VerbatimChar"/>
        </w:rPr>
        <w:t xml:space="preserve">## "~ elev_z + vegclass2 + vegclass3"</w:t>
      </w:r>
    </w:p>
    <w:p>
      <w:pPr>
        <w:pStyle w:val="SourceCode"/>
      </w:pPr>
      <w:r>
        <w:rPr>
          <w:rStyle w:val="VerbatimChar"/>
        </w:rPr>
        <w:t xml:space="preserve">##   det </w:t>
      </w:r>
      <w:r>
        <w:br/>
      </w:r>
      <w:r>
        <w:rPr>
          <w:rStyle w:val="VerbatimChar"/>
        </w:rPr>
        <w:t xml:space="preserve">## "~ 1"</w:t>
      </w:r>
    </w:p>
    <w:p>
      <w:pPr>
        <w:pStyle w:val="SourceCode"/>
      </w:pPr>
      <w:r>
        <w:rPr>
          <w:rStyle w:val="VerbatimChar"/>
        </w:rPr>
        <w:t xml:space="preserve">## [1] "elev_z"    "vegclass2" "vegclass3"</w:t>
      </w:r>
    </w:p>
    <w:p>
      <w:pPr>
        <w:pStyle w:val="SourceCode"/>
      </w:pPr>
      <w:r>
        <w:rPr>
          <w:rStyle w:val="VerbatimChar"/>
        </w:rPr>
        <w:t xml:space="preserve">## [1] "elev"      "vegclass2" "vegclass3"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XX covariates in the</w:t>
      </w:r>
      <w:r>
        <w:t xml:space="preserve"> </w:t>
      </w:r>
      <w:r>
        <w:t xml:space="preserve">occurrence part of the model and XX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from a model for coyote in the Tucson Mountain District of Saguaro National Park,</w:t>
      </w:r>
      <w:r>
        <w:t xml:space="preserve"> </w:t>
      </w:r>
      <w:r>
        <w:t xml:space="preserve">2022. SD = Standard deviation and 95% CI = 95% credible interval. Rhat</w:t>
      </w:r>
      <w:r>
        <w:t xml:space="preserve"> </w:t>
      </w:r>
      <w:r>
        <w:t xml:space="preserve">values between 1 and 1.05 indicate that the model has converged. ESS = effective</w:t>
      </w:r>
      <w:r>
        <w:t xml:space="preserve"> </w:t>
      </w:r>
      <w:r>
        <w:t xml:space="preserve">sample size; values &gt; 400 are usually sufficient. f values indicate the</w:t>
      </w:r>
      <w:r>
        <w:t xml:space="preserve"> </w:t>
      </w:r>
      <w:r>
        <w:t xml:space="preserve">proportion of posterior samples that are &lt; 0 if the mean is &lt; 0 or the</w:t>
      </w:r>
      <w:r>
        <w:t xml:space="preserve"> </w:t>
      </w:r>
      <w:r>
        <w:t xml:space="preserve">proportion of samples that are &gt; 0 if the mean is &gt; 0. Estimates are on the</w:t>
      </w:r>
      <w:r>
        <w:t xml:space="preserve"> </w:t>
      </w:r>
      <w:r>
        <w:t xml:space="preserve">logit scale and all continuous covariates have been standardized by their</w:t>
      </w:r>
      <w:r>
        <w:t xml:space="preserve"> </w:t>
      </w:r>
      <w:r>
        <w:t xml:space="preserve">respective means and standard deviations.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Table with overall estimate (or estimates by vegclass)</w:t>
      </w:r>
    </w:p>
    <w:bookmarkEnd w:id="28"/>
    <w:bookmarkStart w:id="29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9"/>
    <w:bookmarkStart w:id="30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0"/>
    <w:bookmarkEnd w:id="31"/>
    <w:sectPr w:rsidR="00B11CA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DBF6823"/>
    <w:multiLevelType w:val="multilevel"/>
    <w:tmpl w:val="0B8078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62418925" w:numId="1">
    <w:abstractNumId w:val="1"/>
  </w:num>
  <w:num w16cid:durableId="1953127120" w:numId="2">
    <w:abstractNumId w:val="0"/>
  </w:num>
  <w:num w16cid:durableId="1804350306" w:numId="3">
    <w:abstractNumId w:val="3"/>
  </w:num>
  <w:num w16cid:durableId="572277282"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11CA2"/>
    <w:pPr>
      <w:keepNext/>
      <w:keepLines/>
      <w:spacing w:after="120" w:before="24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11CA2"/>
    <w:pPr>
      <w:keepNext/>
      <w:keepLines/>
      <w:spacing w:after="120" w:before="24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11CA2"/>
    <w:pPr>
      <w:keepNext/>
      <w:keepLines/>
      <w:spacing w:after="12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</w:rPr>
    <w:tblPr>
      <w:tblInd w:type="dxa" w:w="0"/>
      <w:tblBorders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2023-06-08T01:04:46Z</dcterms:created>
  <dcterms:modified xsi:type="dcterms:W3CDTF">2023-06-08T01:04:46Z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</Properties>
</file>