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C0D73" w14:textId="2FE43967" w:rsidR="00723E90" w:rsidRPr="00723E90" w:rsidRDefault="00723E90" w:rsidP="00723E90">
      <w:pPr>
        <w:rPr>
          <w:rFonts w:cs="Times New Roman"/>
          <w:szCs w:val="24"/>
        </w:rPr>
      </w:pPr>
      <w:r w:rsidRPr="00723E90">
        <w:rPr>
          <w:rFonts w:cs="Times New Roman"/>
          <w:szCs w:val="24"/>
        </w:rPr>
        <w:t xml:space="preserve">Zylstra, E. R., D. E. Swann, and R. J. </w:t>
      </w:r>
      <w:proofErr w:type="spellStart"/>
      <w:r w:rsidRPr="00723E90">
        <w:rPr>
          <w:rFonts w:cs="Times New Roman"/>
          <w:szCs w:val="24"/>
        </w:rPr>
        <w:t>Steidl</w:t>
      </w:r>
      <w:proofErr w:type="spellEnd"/>
      <w:r w:rsidRPr="00723E90">
        <w:rPr>
          <w:rFonts w:cs="Times New Roman"/>
          <w:szCs w:val="24"/>
        </w:rPr>
        <w:t>. Surface-water availability governs survival of an amphibian in arid mountain streams</w:t>
      </w:r>
      <w:r>
        <w:rPr>
          <w:rFonts w:cs="Times New Roman"/>
          <w:szCs w:val="24"/>
        </w:rPr>
        <w:t xml:space="preserve">. </w:t>
      </w:r>
      <w:r w:rsidRPr="00723E90">
        <w:rPr>
          <w:rFonts w:cs="Times New Roman"/>
          <w:i/>
          <w:szCs w:val="24"/>
        </w:rPr>
        <w:t>Freshwater Biology</w:t>
      </w:r>
      <w:r>
        <w:rPr>
          <w:rFonts w:cs="Times New Roman"/>
          <w:szCs w:val="24"/>
        </w:rPr>
        <w:t>.</w:t>
      </w:r>
    </w:p>
    <w:p w14:paraId="2AC287FA" w14:textId="77777777" w:rsidR="00723E90" w:rsidRDefault="00723E90" w:rsidP="00773EA8">
      <w:pPr>
        <w:spacing w:line="480" w:lineRule="auto"/>
        <w:rPr>
          <w:rFonts w:cs="Times New Roman"/>
          <w:b/>
          <w:caps/>
          <w:szCs w:val="24"/>
        </w:rPr>
      </w:pPr>
    </w:p>
    <w:p w14:paraId="62BF38F1" w14:textId="67DD2ADE" w:rsidR="00773EA8" w:rsidRPr="00BC5722" w:rsidRDefault="00773EA8" w:rsidP="00773EA8">
      <w:pPr>
        <w:spacing w:line="480" w:lineRule="auto"/>
        <w:rPr>
          <w:rFonts w:cs="Times New Roman"/>
          <w:szCs w:val="24"/>
        </w:rPr>
      </w:pPr>
      <w:r w:rsidRPr="00AE3238">
        <w:rPr>
          <w:rFonts w:cs="Times New Roman"/>
          <w:b/>
          <w:caps/>
          <w:szCs w:val="24"/>
        </w:rPr>
        <w:t>Appendix S1</w:t>
      </w:r>
      <w:r w:rsidRPr="00BC5722">
        <w:rPr>
          <w:rFonts w:cs="Times New Roman"/>
          <w:b/>
          <w:szCs w:val="24"/>
        </w:rPr>
        <w:t>. Accounting for bias in estimates of survival.</w:t>
      </w:r>
    </w:p>
    <w:p w14:paraId="5CF864D1" w14:textId="687CD660" w:rsidR="00773EA8" w:rsidRPr="00BC5722" w:rsidRDefault="00773EA8" w:rsidP="00773EA8">
      <w:pPr>
        <w:spacing w:line="480" w:lineRule="auto"/>
        <w:rPr>
          <w:rFonts w:cs="Times New Roman"/>
          <w:szCs w:val="24"/>
        </w:rPr>
      </w:pPr>
      <w:r w:rsidRPr="00BC5722">
        <w:rPr>
          <w:rFonts w:cs="Times New Roman"/>
          <w:szCs w:val="24"/>
        </w:rPr>
        <w:t>One of the fundamental assumptions underlying capture-recapture methods is that marks are not lost, overlooked, or misidentified</w:t>
      </w:r>
      <w:r w:rsidR="00B73B87">
        <w:rPr>
          <w:rFonts w:cs="Times New Roman"/>
          <w:szCs w:val="24"/>
        </w:rPr>
        <w:t xml:space="preserve"> </w:t>
      </w:r>
      <w:r w:rsidR="00B73B87">
        <w:rPr>
          <w:rFonts w:cs="Times New Roman"/>
          <w:szCs w:val="24"/>
        </w:rPr>
        <w:fldChar w:fldCharType="begin" w:fldLock="1"/>
      </w:r>
      <w:r w:rsidR="00B73B87">
        <w:rPr>
          <w:rFonts w:cs="Times New Roman"/>
          <w:szCs w:val="24"/>
        </w:rPr>
        <w:instrText>ADDIN CSL_CITATION {"citationItems":[{"id":"ITEM-1","itemData":{"author":[{"dropping-particle":"","family":"Williams","given":"B. K.","non-dropping-particle":"","parse-names":false,"suffix":""},{"dropping-particle":"","family":"Nichols","given":"J. D.","non-dropping-particle":"","parse-names":false,"suffix":""},{"dropping-particle":"","family":"Conroy","given":"M. J.","non-dropping-particle":"","parse-names":false,"suffix":""}],"id":"ITEM-1","issued":{"date-parts":[["2002"]]},"publisher":"Academic Press","publisher-place":"San Diego, CA","title":"Analysis and management of animal populations","type":"book"},"uris":["http://www.mendeley.com/documents/?uuid=2309c90d-8646-4dc3-a568-07ba8a8dcadf"]}],"mendeley":{"formattedCitation":"(Williams, Nichols, &amp; Conroy, 2002)","plainTextFormattedCitation":"(Williams, Nichols, &amp; Conroy, 2002)","previouslyFormattedCitation":"(Williams, Nichols, &amp; Conroy, 2002)"},"properties":{"noteIndex":0},"schema":"https://github.com/citation-style-language/schema/raw/master/csl-citation.json"}</w:instrText>
      </w:r>
      <w:r w:rsidR="00B73B87">
        <w:rPr>
          <w:rFonts w:cs="Times New Roman"/>
          <w:szCs w:val="24"/>
        </w:rPr>
        <w:fldChar w:fldCharType="separate"/>
      </w:r>
      <w:r w:rsidR="00B73B87" w:rsidRPr="00B73B87">
        <w:rPr>
          <w:rFonts w:cs="Times New Roman"/>
          <w:noProof/>
          <w:szCs w:val="24"/>
        </w:rPr>
        <w:t>(Williams, Nichols, &amp; Conroy, 2002)</w:t>
      </w:r>
      <w:r w:rsidR="00B73B87">
        <w:rPr>
          <w:rFonts w:cs="Times New Roman"/>
          <w:szCs w:val="24"/>
        </w:rPr>
        <w:fldChar w:fldCharType="end"/>
      </w:r>
      <w:r w:rsidRPr="00BC5722">
        <w:rPr>
          <w:rFonts w:cs="Times New Roman"/>
          <w:szCs w:val="24"/>
        </w:rPr>
        <w:t xml:space="preserve">.  This assumption can be violated, however, when photographic data are used to identify and “recapture” individuals.  If false rejection errors occur (here, failing to recognize that two partial spot maps are </w:t>
      </w:r>
      <w:r w:rsidR="00162B6E">
        <w:rPr>
          <w:rFonts w:cs="Times New Roman"/>
          <w:szCs w:val="24"/>
        </w:rPr>
        <w:t xml:space="preserve">from </w:t>
      </w:r>
      <w:r w:rsidRPr="00BC5722">
        <w:rPr>
          <w:rFonts w:cs="Times New Roman"/>
          <w:szCs w:val="24"/>
        </w:rPr>
        <w:t xml:space="preserve">the same frog), the number of encounter histories will exceed the number of individuals observed, </w:t>
      </w:r>
      <w:r w:rsidR="00162B6E">
        <w:rPr>
          <w:rFonts w:cs="Times New Roman"/>
          <w:szCs w:val="24"/>
        </w:rPr>
        <w:t xml:space="preserve">which will bias </w:t>
      </w:r>
      <w:r w:rsidRPr="00BC5722">
        <w:rPr>
          <w:rFonts w:cs="Times New Roman"/>
          <w:szCs w:val="24"/>
        </w:rPr>
        <w:t xml:space="preserve">estimates of survival negatively </w:t>
      </w:r>
      <w:r w:rsidR="00B73B87">
        <w:rPr>
          <w:rFonts w:cs="Times New Roman"/>
          <w:szCs w:val="24"/>
        </w:rPr>
        <w:fldChar w:fldCharType="begin" w:fldLock="1"/>
      </w:r>
      <w:r w:rsidR="00B73B87">
        <w:rPr>
          <w:rFonts w:cs="Times New Roman"/>
          <w:szCs w:val="24"/>
        </w:rPr>
        <w:instrText>ADDIN CSL_CITATION {"citationItems":[{"id":"ITEM-1","itemData":{"DOI":"10.1111/j.2041-210X.2011.00106.x","ISBN":"2041-210X","ISSN":"2041210X","abstract":"1. For many species, noninvasive photographic identification offers a powerful and cost–effective method for estimating demographic parameters and testing ecological hypotheses in large populations. However, this technique is prone to misidentification errors that can severely bias capture–recapture estimates. 2. We present a simple ad hoc data conditioning technique that minimizes bias in survival estimates across all rates of misidentification. We use simulated data sets to characterize trade-offs in bias, precision and accuracy of survival estimators for a range of misidentification probabilities, sampling intensities, survival rates and population sizes using this conditional approach. 3. Misidentification errors resulted in mean survival estimates that were negatively biased by as much as −24·9% when errors were ignored. Applying the conditional approach resulted in very low levels of bias across parameter space. However, the main cost of conditioning is a loss of precision, which was particularly severe at low sampling intensities. Overall, the conditional approach was superior to the nonconditional approach [in terms of root mean square error (RMSE) of survival estimates] in 51% of the parameter combinations that we explored. 4. We apply the data conditioning technique to a 3-sample capture–recapture data set compiled from 2551 images of a migratory wildebeest, Connochaetes taurinus, population in northern Tanzania. We estimate the false rejection rate (i.e., the probability of failing to match two photographs of the same individual) using a test set of ‘known-identity’ individuals. With this information, we compare survival estimates derived from conditioned data ( = 0·698 ± 0·176), unconditioned data ( = 0·706 ± 0·121) and simulated data to illustrate some of the key considerations for deciding whether to apply a conditional approach to a photographic data set. 5. These analyses demonstrate that ignoring misidentification error can lead to substantial bias in survival estimates. When sampling intensity and misclassification error rates are both relatively high, use of our conditioned data approach is preferred and yields survival estimates with lower RMSE. However, when sampling intensity and misclassification error are both small, the standard approach using unconditioned data yields smaller RMSE.","author":[{"dropping-particle":"","family":"Morrison","given":"Thomas A.","non-dropping-particle":"","parse-names":false,"suffix":""},{"dropping-particle":"","family":"Yoshizaki","given":"Jun","non-dropping-particle":"","parse-names":false,"suffix":""},{"dropping-particle":"","family":"Nichols","given":"James D.","non-dropping-particle":"","parse-names":false,"suffix":""},{"dropping-particle":"","family":"Bolger","given":"Douglas T.","non-dropping-particle":"","parse-names":false,"suffix":""}],"container-title":"Methods in Ecology and Evolution","id":"ITEM-1","issue":"5","issued":{"date-parts":[["2011"]]},"page":"454-463","title":"Estimating survival in photographic capture-recapture studies: overcoming misidentification error","type":"article-journal","volume":"2"},"uris":["http://www.mendeley.com/documents/?uuid=b38c3a56-005d-4ca1-9d73-b7988261ebd9"]}],"mendeley":{"formattedCitation":"(Morrison, Yoshizaki, Nichols, &amp; Bolger, 2011)","plainTextFormattedCitation":"(Morrison, Yoshizaki, Nichols, &amp; Bolger, 2011)","previouslyFormattedCitation":"(Morrison, Yoshizaki, Nichols, &amp; Bolger, 2011)"},"properties":{"noteIndex":0},"schema":"https://github.com/citation-style-language/schema/raw/master/csl-citation.json"}</w:instrText>
      </w:r>
      <w:r w:rsidR="00B73B87">
        <w:rPr>
          <w:rFonts w:cs="Times New Roman"/>
          <w:szCs w:val="24"/>
        </w:rPr>
        <w:fldChar w:fldCharType="separate"/>
      </w:r>
      <w:r w:rsidR="00B73B87" w:rsidRPr="00B73B87">
        <w:rPr>
          <w:rFonts w:cs="Times New Roman"/>
          <w:noProof/>
          <w:szCs w:val="24"/>
        </w:rPr>
        <w:t>(Morrison, Yoshizaki, Nichols, &amp; Bolger, 2011)</w:t>
      </w:r>
      <w:r w:rsidR="00B73B87">
        <w:rPr>
          <w:rFonts w:cs="Times New Roman"/>
          <w:szCs w:val="24"/>
        </w:rPr>
        <w:fldChar w:fldCharType="end"/>
      </w:r>
      <w:r w:rsidRPr="00BC5722">
        <w:rPr>
          <w:rFonts w:cs="Times New Roman"/>
          <w:szCs w:val="24"/>
        </w:rPr>
        <w:t>.  Although false acceptance errors might occur (here, incorrectly assuming features were from the same frog when in fact, they were part of spot patterns from two different frogs), these types of errors tend to be rare</w:t>
      </w:r>
      <w:r w:rsidR="00B73B87">
        <w:rPr>
          <w:rFonts w:cs="Times New Roman"/>
          <w:szCs w:val="24"/>
        </w:rPr>
        <w:t xml:space="preserve"> </w:t>
      </w:r>
      <w:r w:rsidR="00B73B87">
        <w:rPr>
          <w:rFonts w:cs="Times New Roman"/>
          <w:szCs w:val="24"/>
        </w:rPr>
        <w:fldChar w:fldCharType="begin" w:fldLock="1"/>
      </w:r>
      <w:r w:rsidR="00B73B87">
        <w:rPr>
          <w:rFonts w:cs="Times New Roman"/>
          <w:szCs w:val="24"/>
        </w:rPr>
        <w:instrText>ADDIN CSL_CITATION {"citationItems":[{"id":"ITEM-1","itemData":{"DOI":"10.1111/j.2041-210X.2011.00106.x","ISBN":"2041-210X","ISSN":"2041210X","abstract":"1. For many species, noninvasive photographic identification offers a powerful and cost–effective method for estimating demographic parameters and testing ecological hypotheses in large populations. However, this technique is prone to misidentification errors that can severely bias capture–recapture estimates. 2. We present a simple ad hoc data conditioning technique that minimizes bias in survival estimates across all rates of misidentification. We use simulated data sets to characterize trade-offs in bias, precision and accuracy of survival estimators for a range of misidentification probabilities, sampling intensities, survival rates and population sizes using this conditional approach. 3. Misidentification errors resulted in mean survival estimates that were negatively biased by as much as −24·9% when errors were ignored. Applying the conditional approach resulted in very low levels of bias across parameter space. However, the main cost of conditioning is a loss of precision, which was particularly severe at low sampling intensities. Overall, the conditional approach was superior to the nonconditional approach [in terms of root mean square error (RMSE) of survival estimates] in 51% of the parameter combinations that we explored. 4. We apply the data conditioning technique to a 3-sample capture–recapture data set compiled from 2551 images of a migratory wildebeest, Connochaetes taurinus, population in northern Tanzania. We estimate the false rejection rate (i.e., the probability of failing to match two photographs of the same individual) using a test set of ‘known-identity’ individuals. With this information, we compare survival estimates derived from conditioned data ( = 0·698 ± 0·176), unconditioned data ( = 0·706 ± 0·121) and simulated data to illustrate some of the key considerations for deciding whether to apply a conditional approach to a photographic data set. 5. These analyses demonstrate that ignoring misidentification error can lead to substantial bias in survival estimates. When sampling intensity and misclassification error rates are both relatively high, use of our conditioned data approach is preferred and yields survival estimates with lower RMSE. However, when sampling intensity and misclassification error are both small, the standard approach using unconditioned data yields smaller RMSE.","author":[{"dropping-particle":"","family":"Morrison","given":"Thomas A.","non-dropping-particle":"","parse-names":false,"suffix":""},{"dropping-particle":"","family":"Yoshizaki","given":"Jun","non-dropping-particle":"","parse-names":false,"suffix":""},{"dropping-particle":"","family":"Nichols","given":"James D.","non-dropping-particle":"","parse-names":false,"suffix":""},{"dropping-particle":"","family":"Bolger","given":"Douglas T.","non-dropping-particle":"","parse-names":false,"suffix":""}],"container-title":"Methods in Ecology and Evolution","id":"ITEM-1","issue":"5","issued":{"date-parts":[["2011"]]},"page":"454-463","title":"Estimating survival in photographic capture-recapture studies: overcoming misidentification error","type":"article-journal","volume":"2"},"uris":["http://www.mendeley.com/documents/?uuid=b38c3a56-005d-4ca1-9d73-b7988261ebd9"]}],"mendeley":{"formattedCitation":"(Morrison et al., 2011)","manualFormatting":"(Morrison et al., 2011","plainTextFormattedCitation":"(Morrison et al., 2011)","previouslyFormattedCitation":"(Morrison et al., 2011)"},"properties":{"noteIndex":0},"schema":"https://github.com/citation-style-language/schema/raw/master/csl-citation.json"}</w:instrText>
      </w:r>
      <w:r w:rsidR="00B73B87">
        <w:rPr>
          <w:rFonts w:cs="Times New Roman"/>
          <w:szCs w:val="24"/>
        </w:rPr>
        <w:fldChar w:fldCharType="separate"/>
      </w:r>
      <w:r w:rsidR="00B73B87" w:rsidRPr="00B73B87">
        <w:rPr>
          <w:rFonts w:cs="Times New Roman"/>
          <w:noProof/>
          <w:szCs w:val="24"/>
        </w:rPr>
        <w:t>(Morrison et al., 2011</w:t>
      </w:r>
      <w:r w:rsidR="00B73B87">
        <w:rPr>
          <w:rFonts w:cs="Times New Roman"/>
          <w:szCs w:val="24"/>
        </w:rPr>
        <w:fldChar w:fldCharType="end"/>
      </w:r>
      <w:r w:rsidR="00B73B87">
        <w:rPr>
          <w:rFonts w:cs="Times New Roman"/>
          <w:szCs w:val="24"/>
        </w:rPr>
        <w:t>;</w:t>
      </w:r>
      <w:r w:rsidRPr="00BC5722">
        <w:rPr>
          <w:rFonts w:cs="Times New Roman"/>
          <w:szCs w:val="24"/>
        </w:rPr>
        <w:t xml:space="preserve"> ERZ, </w:t>
      </w:r>
      <w:r w:rsidRPr="00BC5722">
        <w:rPr>
          <w:rFonts w:cs="Times New Roman"/>
          <w:i/>
          <w:szCs w:val="24"/>
        </w:rPr>
        <w:t>unpublished data</w:t>
      </w:r>
      <w:r w:rsidRPr="00BC5722">
        <w:rPr>
          <w:rFonts w:cs="Times New Roman"/>
          <w:szCs w:val="24"/>
        </w:rPr>
        <w:t xml:space="preserve">), therefore we did not account explicitly for this potential source of bias.  </w:t>
      </w:r>
    </w:p>
    <w:p w14:paraId="40409C03" w14:textId="77777777" w:rsidR="00773EA8" w:rsidRDefault="00773EA8" w:rsidP="00773EA8">
      <w:pPr>
        <w:tabs>
          <w:tab w:val="left" w:pos="360"/>
        </w:tabs>
        <w:spacing w:line="480" w:lineRule="auto"/>
        <w:rPr>
          <w:rFonts w:cs="Times New Roman"/>
          <w:b/>
          <w:szCs w:val="24"/>
        </w:rPr>
      </w:pPr>
    </w:p>
    <w:p w14:paraId="09AE031F" w14:textId="77777777" w:rsidR="00773EA8" w:rsidRPr="00BC5722" w:rsidRDefault="00773EA8" w:rsidP="00773EA8">
      <w:pPr>
        <w:tabs>
          <w:tab w:val="left" w:pos="360"/>
        </w:tabs>
        <w:spacing w:line="480" w:lineRule="auto"/>
        <w:rPr>
          <w:rFonts w:cs="Times New Roman"/>
          <w:b/>
          <w:szCs w:val="24"/>
        </w:rPr>
      </w:pPr>
      <w:r w:rsidRPr="00BC5722">
        <w:rPr>
          <w:rFonts w:cs="Times New Roman"/>
          <w:b/>
          <w:szCs w:val="24"/>
        </w:rPr>
        <w:t>METHODS</w:t>
      </w:r>
    </w:p>
    <w:p w14:paraId="73BA828B" w14:textId="49710899" w:rsidR="00773EA8" w:rsidRPr="00BC5722" w:rsidRDefault="00773EA8" w:rsidP="00773EA8">
      <w:pPr>
        <w:tabs>
          <w:tab w:val="left" w:pos="360"/>
        </w:tabs>
        <w:spacing w:line="480" w:lineRule="auto"/>
        <w:rPr>
          <w:rFonts w:cs="Times New Roman"/>
          <w:szCs w:val="24"/>
        </w:rPr>
      </w:pPr>
      <w:r w:rsidRPr="00BC5722">
        <w:rPr>
          <w:rFonts w:cs="Times New Roman"/>
          <w:szCs w:val="24"/>
        </w:rPr>
        <w:t xml:space="preserve">We identified </w:t>
      </w:r>
      <w:r w:rsidR="00162B6E">
        <w:rPr>
          <w:rFonts w:cs="Times New Roman"/>
          <w:szCs w:val="24"/>
        </w:rPr>
        <w:t xml:space="preserve">three </w:t>
      </w:r>
      <w:r w:rsidRPr="00BC5722">
        <w:rPr>
          <w:rFonts w:cs="Times New Roman"/>
          <w:szCs w:val="24"/>
        </w:rPr>
        <w:t>strategies to address potential bias associated with false rejection errors.  First, we could assume false rejection errors occurred rarely and elect not to account for such errors (i.e., use all encounter histories, based on all survey occasions and photosets).  Although a tenuous assumption, most capture-recapture studies that rely on photographic data have adopted this strategy, ignoring the potential for bias</w:t>
      </w:r>
      <w:r w:rsidR="00B73B87">
        <w:rPr>
          <w:rFonts w:cs="Times New Roman"/>
          <w:szCs w:val="24"/>
        </w:rPr>
        <w:t xml:space="preserve"> </w:t>
      </w:r>
      <w:r w:rsidR="00B73B87">
        <w:rPr>
          <w:rFonts w:cs="Times New Roman"/>
          <w:szCs w:val="24"/>
        </w:rPr>
        <w:fldChar w:fldCharType="begin" w:fldLock="1"/>
      </w:r>
      <w:r w:rsidR="00B73B87">
        <w:rPr>
          <w:rFonts w:cs="Times New Roman"/>
          <w:szCs w:val="24"/>
        </w:rPr>
        <w:instrText>ADDIN CSL_CITATION {"citationItems":[{"id":"ITEM-1","itemData":{"DOI":"10.1111/j.2041-210X.2011.00106.x","ISBN":"2041-210X","ISSN":"2041210X","abstract":"1. For many species, noninvasive photographic identification offers a powerful and cost–effective method for estimating demographic parameters and testing ecological hypotheses in large populations. However, this technique is prone to misidentification errors that can severely bias capture–recapture estimates. 2. We present a simple ad hoc data conditioning technique that minimizes bias in survival estimates across all rates of misidentification. We use simulated data sets to characterize trade-offs in bias, precision and accuracy of survival estimators for a range of misidentification probabilities, sampling intensities, survival rates and population sizes using this conditional approach. 3. Misidentification errors resulted in mean survival estimates that were negatively biased by as much as −24·9% when errors were ignored. Applying the conditional approach resulted in very low levels of bias across parameter space. However, the main cost of conditioning is a loss of precision, which was particularly severe at low sampling intensities. Overall, the conditional approach was superior to the nonconditional approach [in terms of root mean square error (RMSE) of survival estimates] in 51% of the parameter combinations that we explored. 4. We apply the data conditioning technique to a 3-sample capture–recapture data set compiled from 2551 images of a migratory wildebeest, Connochaetes taurinus, population in northern Tanzania. We estimate the false rejection rate (i.e., the probability of failing to match two photographs of the same individual) using a test set of ‘known-identity’ individuals. With this information, we compare survival estimates derived from conditioned data ( = 0·698 ± 0·176), unconditioned data ( = 0·706 ± 0·121) and simulated data to illustrate some of the key considerations for deciding whether to apply a conditional approach to a photographic data set. 5. These analyses demonstrate that ignoring misidentification error can lead to substantial bias in survival estimates. When sampling intensity and misclassification error rates are both relatively high, use of our conditioned data approach is preferred and yields survival estimates with lower RMSE. However, when sampling intensity and misclassification error are both small, the standard approach using unconditioned data yields smaller RMSE.","author":[{"dropping-particle":"","family":"Morrison","given":"Thomas A.","non-dropping-particle":"","parse-names":false,"suffix":""},{"dropping-particle":"","family":"Yoshizaki","given":"Jun","non-dropping-particle":"","parse-names":false,"suffix":""},{"dropping-particle":"","family":"Nichols","given":"James D.","non-dropping-particle":"","parse-names":false,"suffix":""},{"dropping-particle":"","family":"Bolger","given":"Douglas T.","non-dropping-particle":"","parse-names":false,"suffix":""}],"container-title":"Methods in Ecology and Evolution","id":"ITEM-1","issue":"5","issued":{"date-parts":[["2011"]]},"page":"454-463","title":"Estimating survival in photographic capture-recapture studies: overcoming misidentification error","type":"article-journal","volume":"2"},"uris":["http://www.mendeley.com/documents/?uuid=b38c3a56-005d-4ca1-9d73-b7988261ebd9"]},{"id":"ITEM-2","itemData":{"DOI":"10.1111/2041-210x.12008","ISBN":"2041210X","ISSN":"2041210X","abstract":"* In many species, photo-identification could be used as an alternative to artificial marking to provide data on demographic parameters. However, unless the population is very small or fragmented, software may be required to pre-screen and reject most image pairs as potential matches. * Depending on the species and method used to obtain images, currently available software may falsely reject some matches. We estimate the false rejection rate (FRR) of the ExtractCompare (EC) program when used to pre-screen images of female grey seals. Filtering images manually to reduce the FRR involves subjective assessment of image quality, reduces the amount of data available and may bias the results in favour of relatively well-marked individuals. * The data may contain individuals identified only from the left side or the right side, as well as individuals identified from both sides. * Missed matches resulting from false rejections by pre-screening software and/or inclusion of individuals identified only from opposite sides cause some individuals to generate multiple encounter histories. * We describe an open population model for data of this type which, given a measured risk of missing a match between a randomly selected pair of images of the same individual, provides maximum likelihood (ML) estimates of initial population size, survival/emigration and immigration/recruitment by calculating the expected frequency of any encounter history that could be generated. * As a case study for the method, we used EC to pre-screen photographs of female grey seals on a breeding colony and generate encounter histories over five successive seasons. Allowing for the measured FRR, we calculated ML estimates for comparison with estimates from previous studies. * We also used the model with encounter histories simulated using the same FRR to give the same mixture of left side, right side and both sides histories and derived ML estimates for comparison with the values used to drive the simulation. * With FRR set at up to 33%, the method gave estimates of the abundance and survival parameters used in the simulation model that were biased by at most 4·7% up and 3% down, respectively. The results of the grey seal case study were consistent with previous estimates of apparent survival and trends in abundance.","author":[{"dropping-particle":"","family":"Hiby","given":"Lex","non-dropping-particle":"","parse-names":false,"suffix":""},{"dropping-particle":"","family":"Paterson","given":"William D.","non-dropping-particle":"","parse-names":false,"suffix":""},{"dropping-particle":"","family":"Redman","given":"Paula","non-dropping-particle":"","parse-names":false,"suffix":""},{"dropping-particle":"","family":"Watkins","given":"John","non-dropping-particle":"","parse-names":false,"suffix":""},{"dropping-particle":"","family":"Twiss","given":"Sean D.","non-dropping-particle":"","parse-names":false,"suffix":""},{"dropping-particle":"","family":"Pomeroy","given":"Patrick","non-dropping-particle":"","parse-names":false,"suffix":""}],"container-title":"Methods in Ecology and Evolution","id":"ITEM-2","issue":"3","issued":{"date-parts":[["2013"]]},"page":"252-259","title":"Analysis of photo-id data allowing for missed matches and individuals identified from opposite sides","type":"article-journal","volume":"4"},"uris":["http://www.mendeley.com/documents/?uuid=e2e4c9a4-55db-4845-bb07-d7fbb84c1a08"]},{"id":"ITEM-3","itemData":{"DOI":"10.1890/12-1613.1","ISBN":"0012-9658","ISSN":"00129658","PMID":"23951706","abstract":"When natural marks provide sufficient resolution to identify individual animals, noninvasive sampling using cameras has a number of distinct advantages relative to “traditional” mark–recapture methods. However, analyses from photo-identification records often pose additional challenges. For example, it is often unclear how to link left- and right-side photos to the same individual, and previous studies have primarily used data from just one side for statistical inference. Here we describe how a recently developed statistical method can be adapted for integrated mark–recapture analyses using bilateral photo-identification records. The approach works by assuming that the true encounter history for each animal is a latent (unobserved) realization from a multinomial distribution. Based on the type of photo encounter (e.g., right, left, or both sides), the recorded (observed) encounter histories can only arise from certain combinations of these latent histories. In this manner, the approach properly accounts for uncertainty about the true number of distinct animals observed in the study. Using a Markov chain Monte Carlo sampling procedure, we conduct a small simulation study to show that this approach has reasonable properties and outperforms other methods. We further illustrate our approach by estimating population size from bobcat photo-identification records. Although motivated by bilateral photo-identification records, we note that the proposed methodology can be used to combine and jointly analyze other types of mark–recapture data (e.g., photo and DNA records).","author":[{"dropping-particle":"","family":"McClintock","given":"Brett T.","non-dropping-particle":"","parse-names":false,"suffix":""},{"dropping-particle":"","family":"Conn","given":"Paul B.","non-dropping-particle":"","parse-names":false,"suffix":""},{"dropping-particle":"","family":"Alonso","given":"Robert S.","non-dropping-particle":"","parse-names":false,"suffix":""},{"dropping-particle":"","family":"Crooks","given":"Kevin R.","non-dropping-particle":"","parse-names":false,"suffix":""}],"container-title":"Ecology","id":"ITEM-3","issue":"7","issued":{"date-parts":[["2013"]]},"page":"1464-1471","title":"Integrated modeling of bilateral photo-identification data in mark-recapture analyses","type":"article-journal","volume":"94"},"uris":["http://www.mendeley.com/documents/?uuid=40732194-b04f-44ce-aa9c-81c4e801c346"]}],"mendeley":{"formattedCitation":"(Hiby et al., 2013; McClintock, Conn, Alonso, &amp; Crooks, 2013; Morrison et al., 2011)","manualFormatting":"(but see Hiby et al., 2013; McClintock, Conn, Alonso, &amp; Crooks, 2013; Morrison et al., 2011)","plainTextFormattedCitation":"(Hiby et al., 2013; McClintock, Conn, Alonso, &amp; Crooks, 2013; Morrison et al., 2011)","previouslyFormattedCitation":"(Hiby et al., 2013; McClintock, Conn, Alonso, &amp; Crooks, 2013; Morrison et al., 2011)"},"properties":{"noteIndex":0},"schema":"https://github.com/citation-style-language/schema/raw/master/csl-citation.json"}</w:instrText>
      </w:r>
      <w:r w:rsidR="00B73B87">
        <w:rPr>
          <w:rFonts w:cs="Times New Roman"/>
          <w:szCs w:val="24"/>
        </w:rPr>
        <w:fldChar w:fldCharType="separate"/>
      </w:r>
      <w:r w:rsidR="00B73B87" w:rsidRPr="00B73B87">
        <w:rPr>
          <w:rFonts w:cs="Times New Roman"/>
          <w:noProof/>
          <w:szCs w:val="24"/>
        </w:rPr>
        <w:t>(</w:t>
      </w:r>
      <w:r w:rsidR="00B73B87">
        <w:rPr>
          <w:rFonts w:cs="Times New Roman"/>
          <w:noProof/>
          <w:szCs w:val="24"/>
        </w:rPr>
        <w:t xml:space="preserve">but see </w:t>
      </w:r>
      <w:r w:rsidR="00B73B87" w:rsidRPr="00B73B87">
        <w:rPr>
          <w:rFonts w:cs="Times New Roman"/>
          <w:noProof/>
          <w:szCs w:val="24"/>
        </w:rPr>
        <w:t>Hiby et al., 2013; McClintock, Conn, Alonso, &amp; Crooks, 2013; Morrison et al., 2011)</w:t>
      </w:r>
      <w:r w:rsidR="00B73B87">
        <w:rPr>
          <w:rFonts w:cs="Times New Roman"/>
          <w:szCs w:val="24"/>
        </w:rPr>
        <w:fldChar w:fldCharType="end"/>
      </w:r>
      <w:r w:rsidRPr="00BC5722">
        <w:rPr>
          <w:rFonts w:cs="Times New Roman"/>
          <w:szCs w:val="24"/>
        </w:rPr>
        <w:t xml:space="preserve">.  Second, we could restrict analyses to only those encounter histories associated with individuals whose spot patterns were mapped completely (i.e., features mapped over all three body regions).  Although this strategy might reduce or even </w:t>
      </w:r>
      <w:r w:rsidRPr="00BC5722">
        <w:rPr>
          <w:rFonts w:cs="Times New Roman"/>
          <w:szCs w:val="24"/>
        </w:rPr>
        <w:lastRenderedPageBreak/>
        <w:t xml:space="preserve">eliminate identification errors, sample sizes would be reduced and estimates of survival could nevertheless be biased if the individuals associated with those encounter histories were not representative of the larger population.  Third, we could censor the initial observation of all individuals and partial spot maps, thereby excluding capture histories </w:t>
      </w:r>
      <w:r w:rsidR="00F30F5D">
        <w:rPr>
          <w:rFonts w:cs="Times New Roman"/>
          <w:szCs w:val="24"/>
        </w:rPr>
        <w:t>associated with individuals or partial spot maps that were observed only once</w:t>
      </w:r>
      <w:r w:rsidRPr="00BC5722">
        <w:rPr>
          <w:rFonts w:cs="Times New Roman"/>
          <w:szCs w:val="24"/>
        </w:rPr>
        <w:t xml:space="preserve">. </w:t>
      </w:r>
      <w:r w:rsidR="00162B6E">
        <w:rPr>
          <w:rFonts w:cs="Times New Roman"/>
          <w:szCs w:val="24"/>
        </w:rPr>
        <w:t xml:space="preserve"> </w:t>
      </w:r>
      <w:r w:rsidRPr="00BC5722">
        <w:rPr>
          <w:rFonts w:cs="Times New Roman"/>
          <w:szCs w:val="24"/>
        </w:rPr>
        <w:t>This approach was developed by</w:t>
      </w:r>
      <w:r w:rsidR="00B73B87">
        <w:rPr>
          <w:rFonts w:cs="Times New Roman"/>
          <w:szCs w:val="24"/>
        </w:rPr>
        <w:t xml:space="preserve"> </w:t>
      </w:r>
      <w:r w:rsidR="00B73B87">
        <w:rPr>
          <w:rFonts w:cs="Times New Roman"/>
          <w:szCs w:val="24"/>
        </w:rPr>
        <w:fldChar w:fldCharType="begin" w:fldLock="1"/>
      </w:r>
      <w:r w:rsidR="00B73B87">
        <w:rPr>
          <w:rFonts w:cs="Times New Roman"/>
          <w:szCs w:val="24"/>
        </w:rPr>
        <w:instrText>ADDIN CSL_CITATION {"citationItems":[{"id":"ITEM-1","itemData":{"DOI":"10.1111/j.2041-210X.2011.00106.x","ISBN":"2041-210X","ISSN":"2041210X","abstract":"1. For many species, noninvasive photographic identification offers a powerful and cost–effective method for estimating demographic parameters and testing ecological hypotheses in large populations. However, this technique is prone to misidentification errors that can severely bias capture–recapture estimates. 2. We present a simple ad hoc data conditioning technique that minimizes bias in survival estimates across all rates of misidentification. We use simulated data sets to characterize trade-offs in bias, precision and accuracy of survival estimators for a range of misidentification probabilities, sampling intensities, survival rates and population sizes using this conditional approach. 3. Misidentification errors resulted in mean survival estimates that were negatively biased by as much as −24·9% when errors were ignored. Applying the conditional approach resulted in very low levels of bias across parameter space. However, the main cost of conditioning is a loss of precision, which was particularly severe at low sampling intensities. Overall, the conditional approach was superior to the nonconditional approach [in terms of root mean square error (RMSE) of survival estimates] in 51% of the parameter combinations that we explored. 4. We apply the data conditioning technique to a 3-sample capture–recapture data set compiled from 2551 images of a migratory wildebeest, Connochaetes taurinus, population in northern Tanzania. We estimate the false rejection rate (i.e., the probability of failing to match two photographs of the same individual) using a test set of ‘known-identity’ individuals. With this information, we compare survival estimates derived from conditioned data ( = 0·698 ± 0·176), unconditioned data ( = 0·706 ± 0·121) and simulated data to illustrate some of the key considerations for deciding whether to apply a conditional approach to a photographic data set. 5. These analyses demonstrate that ignoring misidentification error can lead to substantial bias in survival estimates. When sampling intensity and misclassification error rates are both relatively high, use of our conditioned data approach is preferred and yields survival estimates with lower RMSE. However, when sampling intensity and misclassification error are both small, the standard approach using unconditioned data yields smaller RMSE.","author":[{"dropping-particle":"","family":"Morrison","given":"Thomas A.","non-dropping-particle":"","parse-names":false,"suffix":""},{"dropping-particle":"","family":"Yoshizaki","given":"Jun","non-dropping-particle":"","parse-names":false,"suffix":""},{"dropping-particle":"","family":"Nichols","given":"James D.","non-dropping-particle":"","parse-names":false,"suffix":""},{"dropping-particle":"","family":"Bolger","given":"Douglas T.","non-dropping-particle":"","parse-names":false,"suffix":""}],"container-title":"Methods in Ecology and Evolution","id":"ITEM-1","issue":"5","issued":{"date-parts":[["2011"]]},"page":"454-463","title":"Estimating survival in photographic capture-recapture studies: overcoming misidentification error","type":"article-journal","volume":"2"},"uris":["http://www.mendeley.com/documents/?uuid=b38c3a56-005d-4ca1-9d73-b7988261ebd9"]}],"mendeley":{"formattedCitation":"(Morrison et al., 2011)","manualFormatting":"Morrison et al. (2011)","plainTextFormattedCitation":"(Morrison et al., 2011)","previouslyFormattedCitation":"(Morrison et al., 2011)"},"properties":{"noteIndex":0},"schema":"https://github.com/citation-style-language/schema/raw/master/csl-citation.json"}</w:instrText>
      </w:r>
      <w:r w:rsidR="00B73B87">
        <w:rPr>
          <w:rFonts w:cs="Times New Roman"/>
          <w:szCs w:val="24"/>
        </w:rPr>
        <w:fldChar w:fldCharType="separate"/>
      </w:r>
      <w:r w:rsidR="00B73B87">
        <w:rPr>
          <w:rFonts w:cs="Times New Roman"/>
          <w:noProof/>
          <w:szCs w:val="24"/>
        </w:rPr>
        <w:t>Morrison et al.</w:t>
      </w:r>
      <w:r w:rsidR="00B73B87" w:rsidRPr="00B73B87">
        <w:rPr>
          <w:rFonts w:cs="Times New Roman"/>
          <w:noProof/>
          <w:szCs w:val="24"/>
        </w:rPr>
        <w:t xml:space="preserve"> </w:t>
      </w:r>
      <w:r w:rsidR="00B73B87">
        <w:rPr>
          <w:rFonts w:cs="Times New Roman"/>
          <w:noProof/>
          <w:szCs w:val="24"/>
        </w:rPr>
        <w:t>(</w:t>
      </w:r>
      <w:r w:rsidR="00B73B87" w:rsidRPr="00B73B87">
        <w:rPr>
          <w:rFonts w:cs="Times New Roman"/>
          <w:noProof/>
          <w:szCs w:val="24"/>
        </w:rPr>
        <w:t>2011)</w:t>
      </w:r>
      <w:r w:rsidR="00B73B87">
        <w:rPr>
          <w:rFonts w:cs="Times New Roman"/>
          <w:szCs w:val="24"/>
        </w:rPr>
        <w:fldChar w:fldCharType="end"/>
      </w:r>
      <w:r w:rsidRPr="00BC5722">
        <w:rPr>
          <w:rFonts w:cs="Times New Roman"/>
          <w:szCs w:val="24"/>
        </w:rPr>
        <w:t xml:space="preserve"> to address false rejection errors resulting from low-quality photographic images and was based on the assumption that low-quality images are likely to result in superfluous histories, each with a single encounter.  When false rejection errors result from incomplete information rather than poor image quality, as in our study, censoring initial encounters may reduce but not eliminate this potential bias, as partial spot maps could be encountered more than once and retained in analyses.  </w:t>
      </w:r>
      <w:r w:rsidR="00162B6E">
        <w:rPr>
          <w:rFonts w:cs="Times New Roman"/>
          <w:szCs w:val="24"/>
        </w:rPr>
        <w:t xml:space="preserve">Lastly, </w:t>
      </w:r>
      <w:r w:rsidRPr="00BC5722">
        <w:rPr>
          <w:rFonts w:cs="Times New Roman"/>
          <w:szCs w:val="24"/>
        </w:rPr>
        <w:t xml:space="preserve">we </w:t>
      </w:r>
      <w:r w:rsidR="00162B6E">
        <w:rPr>
          <w:rFonts w:cs="Times New Roman"/>
          <w:szCs w:val="24"/>
        </w:rPr>
        <w:t xml:space="preserve">considered </w:t>
      </w:r>
      <w:r w:rsidRPr="00BC5722">
        <w:rPr>
          <w:rFonts w:cs="Times New Roman"/>
          <w:szCs w:val="24"/>
        </w:rPr>
        <w:t>whether methods developed recently for “bilateral” data</w:t>
      </w:r>
      <w:r w:rsidR="00B73B87">
        <w:rPr>
          <w:rFonts w:cs="Times New Roman"/>
          <w:szCs w:val="24"/>
        </w:rPr>
        <w:t xml:space="preserve"> </w:t>
      </w:r>
      <w:r w:rsidR="00B73B87">
        <w:rPr>
          <w:rFonts w:cs="Times New Roman"/>
          <w:szCs w:val="24"/>
        </w:rPr>
        <w:fldChar w:fldCharType="begin" w:fldLock="1"/>
      </w:r>
      <w:r w:rsidR="00B73B87">
        <w:rPr>
          <w:rFonts w:cs="Times New Roman"/>
          <w:szCs w:val="24"/>
        </w:rPr>
        <w:instrText>ADDIN CSL_CITATION {"citationItems":[{"id":"ITEM-1","itemData":{"DOI":"10.1890/1051-0761(1999)009[0288:ESAATI]2.0.CO;2","author":[{"dropping-particle":"","family":"Wilson","given":"Ben","non-dropping-particle":"","parse-names":false,"suffix":""},{"dropping-particle":"","family":"Hammond","given":"Philip S.","non-dropping-particle":"","parse-names":false,"suffix":""},{"dropping-particle":"","family":"Thompson","given":"Paul M.","non-dropping-particle":"","parse-names":false,"suffix":""}],"container-title":"Ecological Applications","id":"ITEM-1","issue":"1","issued":{"date-parts":[["1999","2","1"]]},"page":"288-300","publisher":"Ecological Society of America","title":"Estimating size and assessing trends in a coastal bottlenose dolphin population","type":"article-journal","volume":"9"},"uris":["http://www.mendeley.com/documents/?uuid=c290ba42-e1e4-365e-9842-00d31bca1bc1"]},{"id":"ITEM-2","itemData":{"DOI":"10.1198/016214507000001256","abstract":"We develop a Bayesian capture-recapture model that provides estimates of abundance as well as time-varying and heterogeneous survival and capture probability distributions. The model uses a state-space approach by incorporating an underlying population model and an observation model, and here is applied to photo-identification data to estimate trends in the abundance and survival of a population of bottlenose dolphins (Tursiops truncatus) in northeast Scotland. Novel features of the model include simultaneous estimation of time-varying survival and capture probability distributions, estimation of heterogeneity effects for survival and capture, use of separate data to inflate the number of identified animals to the total abundance, and integration of separate observations of the same animals from right and left side photographs. A Bayesian approach using Markov chain Monte Carlo methods allows for uncertainty in measurement and parameters, and simulations confirm the model's validity.","author":[{"dropping-particle":"","family":"Corkrey","given":"Ross","non-dropping-particle":"","parse-names":false,"suffix":""},{"dropping-particle":"","family":"Brooks","given":"Steve","non-dropping-particle":"","parse-names":false,"suffix":""},{"dropping-particle":"","family":"Lusseau","given":"David","non-dropping-particle":"","parse-names":false,"suffix":""},{"dropping-particle":"","family":"Parsons","given":"Kim","non-dropping-particle":"","parse-names":false,"suffix":""},{"dropping-particle":"","family":"Durban","given":"John W","non-dropping-particle":"","parse-names":false,"suffix":""},{"dropping-particle":"","family":"Hammond","given":"Philip S","non-dropping-particle":"","parse-names":false,"suffix":""},{"dropping-particle":"","family":"Thompson","given":"Paul M","non-dropping-particle":"","parse-names":false,"suffix":""}],"container-title":"Journal of the American Statistical Association","id":"ITEM-2","issue":"483","issued":{"date-parts":[["2008","9"]]},"page":"948-960","publisher":"Taylor &amp; Francis","title":"A Bayesian capture–recapture population model with simultaneous estimation of heterogeneity","type":"article-journal","volume":"103"},"uris":["http://www.mendeley.com/documents/?uuid=d8ba76b8-357c-35da-8b9d-82b8958e8e98"]},{"id":"ITEM-3","itemData":{"DOI":"10.1111/j.1541-0420.2009.01244.x","ISBN":"0006-341X","ISSN":"0006341X","PMID":"19397581","abstract":"Natural tags based on DNA fingerprints or natural features of animals are now becoming very widely used in wildlife population biology. However, classic capture-recapture models do not allow for misidentification of animals which is a potentially very serious problem with natural tags. Statistical analysis of misidentification processes is extremely difficult using traditional likelihood methods but is easily handled using Bayesian methods. We present a general framework for Bayesian analysis of categorical data arising from a latent multinomial distribution. Although our work is motivated by a specific model for misidentification in closed population capture-recapture analyses, with crucial assumptions which may not always be appropriate, the methods we develop extend naturally to a variety of other models with similar structure. Suppose that observed frequencies f are a known linear transformation f = A'x of a latent multinomial variable x with cell probability vector pi = pi(theta). Given that full conditional distributions [theta vertical bar x] can be sampled, implementation of Gibbs sampling requires only that we can sample from the full conditional distribution [x vertical bar f, theta], which is made possible by knowledge of the null space of A'. We illustrate the approach using two data sets with individual misidentification, one simulated, the other summarizing recapture data for salamanders based on natural marks.","author":[{"dropping-particle":"","family":"Link","given":"William A.","non-dropping-particle":"","parse-names":false,"suffix":""},{"dropping-particle":"","family":"Yoshizaki","given":"Jun","non-dropping-particle":"","parse-names":false,"suffix":""},{"dropping-particle":"","family":"Bailey","given":"Larissa L.","non-dropping-particle":"","parse-names":false,"suffix":""},{"dropping-particle":"","family":"Pollock","given":"Kenneth H.","non-dropping-particle":"","parse-names":false,"suffix":""}],"container-title":"Biometrics","id":"ITEM-3","issue":"1","issued":{"date-parts":[["2010"]]},"page":"178-185","title":"Uncovering a latent multinomial: analysis of mark-recapture data with misidentification","type":"article-journal","volume":"66"},"uris":["http://www.mendeley.com/documents/?uuid=88ace1ac-17e4-4e8e-946c-9ef85d737b18"]},{"id":"ITEM-4","itemData":{"DOI":"10.1111/2041-210x.12008","ISBN":"2041210X","ISSN":"2041210X","abstract":"* In many species, photo-identification could be used as an alternative to artificial marking to provide data on demographic parameters. However, unless the population is very small or fragmented, software may be required to pre-screen and reject most image pairs as potential matches. * Depending on the species and method used to obtain images, currently available software may falsely reject some matches. We estimate the false rejection rate (FRR) of the ExtractCompare (EC) program when used to pre-screen images of female grey seals. Filtering images manually to reduce the FRR involves subjective assessment of image quality, reduces the amount of data available and may bias the results in favour of relatively well-marked individuals. * The data may contain individuals identified only from the left side or the right side, as well as individuals identified from both sides. * Missed matches resulting from false rejections by pre-screening software and/or inclusion of individuals identified only from opposite sides cause some individuals to generate multiple encounter histories. * We describe an open population model for data of this type which, given a measured risk of missing a match between a randomly selected pair of images of the same individual, provides maximum likelihood (ML) estimates of initial population size, survival/emigration and immigration/recruitment by calculating the expected frequency of any encounter history that could be generated. * As a case study for the method, we used EC to pre-screen photographs of female grey seals on a breeding colony and generate encounter histories over five successive seasons. Allowing for the measured FRR, we calculated ML estimates for comparison with estimates from previous studies. * We also used the model with encounter histories simulated using the same FRR to give the same mixture of left side, right side and both sides histories and derived ML estimates for comparison with the values used to drive the simulation. * With FRR set at up to 33%, the method gave estimates of the abundance and survival parameters used in the simulation model that were biased by at most 4·7% up and 3% down, respectively. The results of the grey seal case study were consistent with previous estimates of apparent survival and trends in abundance.","author":[{"dropping-particle":"","family":"Hiby","given":"Lex","non-dropping-particle":"","parse-names":false,"suffix":""},{"dropping-particle":"","family":"Paterson","given":"William D.","non-dropping-particle":"","parse-names":false,"suffix":""},{"dropping-particle":"","family":"Redman","given":"Paula","non-dropping-particle":"","parse-names":false,"suffix":""},{"dropping-particle":"","family":"Watkins","given":"John","non-dropping-particle":"","parse-names":false,"suffix":""},{"dropping-particle":"","family":"Twiss","given":"Sean D.","non-dropping-particle":"","parse-names":false,"suffix":""},{"dropping-particle":"","family":"Pomeroy","given":"Patrick","non-dropping-particle":"","parse-names":false,"suffix":""}],"container-title":"Methods in Ecology and Evolution","id":"ITEM-4","issue":"3","issued":{"date-parts":[["2013"]]},"page":"252-259","title":"Analysis of photo-id data allowing for missed matches and individuals identified from opposite sides","type":"article-journal","volume":"4"},"uris":["http://www.mendeley.com/documents/?uuid=e2e4c9a4-55db-4845-bb07-d7fbb84c1a08"]},{"id":"ITEM-5","itemData":{"DOI":"10.1890/12-1613.1","ISBN":"0012-9658","ISSN":"00129658","PMID":"23951706","abstract":"When natural marks provide sufficient resolution to identify individual animals, noninvasive sampling using cameras has a number of distinct advantages relative to “traditional” mark–recapture methods. However, analyses from photo-identification records often pose additional challenges. For example, it is often unclear how to link left- and right-side photos to the same individual, and previous studies have primarily used data from just one side for statistical inference. Here we describe how a recently developed statistical method can be adapted for integrated mark–recapture analyses using bilateral photo-identification records. The approach works by assuming that the true encounter history for each animal is a latent (unobserved) realization from a multinomial distribution. Based on the type of photo encounter (e.g., right, left, or both sides), the recorded (observed) encounter histories can only arise from certain combinations of these latent histories. In this manner, the approach properly accounts for uncertainty about the true number of distinct animals observed in the study. Using a Markov chain Monte Carlo sampling procedure, we conduct a small simulation study to show that this approach has reasonable properties and outperforms other methods. We further illustrate our approach by estimating population size from bobcat photo-identification records. Although motivated by bilateral photo-identification records, we note that the proposed methodology can be used to combine and jointly analyze other types of mark–recapture data (e.g., photo and DNA records).","author":[{"dropping-particle":"","family":"McClintock","given":"Brett T.","non-dropping-particle":"","parse-names":false,"suffix":""},{"dropping-particle":"","family":"Conn","given":"Paul B.","non-dropping-particle":"","parse-names":false,"suffix":""},{"dropping-particle":"","family":"Alonso","given":"Robert S.","non-dropping-particle":"","parse-names":false,"suffix":""},{"dropping-particle":"","family":"Crooks","given":"Kevin R.","non-dropping-particle":"","parse-names":false,"suffix":""}],"container-title":"Ecology","id":"ITEM-5","issue":"7","issued":{"date-parts":[["2013"]]},"page":"1464-1471","title":"Integrated modeling of bilateral photo-identification data in mark-recapture analyses","type":"article-journal","volume":"94"},"uris":["http://www.mendeley.com/documents/?uuid=40732194-b04f-44ce-aa9c-81c4e801c346"]}],"mendeley":{"formattedCitation":"(Corkrey et al., 2008; Hiby et al., 2013; Link, Yoshizaki, Bailey, &amp; Pollock, 2010; McClintock et al., 2013; Wilson, Hammond, &amp; Thompson, 1999)","plainTextFormattedCitation":"(Corkrey et al., 2008; Hiby et al., 2013; Link, Yoshizaki, Bailey, &amp; Pollock, 2010; McClintock et al., 2013; Wilson, Hammond, &amp; Thompson, 1999)","previouslyFormattedCitation":"(Corkrey et al., 2008; Hiby et al., 2013; Link, Yoshizaki, Bailey, &amp; Pollock, 2010; McClintock et al., 2013; Wilson, Hammond, &amp; Thompson, 1999)"},"properties":{"noteIndex":0},"schema":"https://github.com/citation-style-language/schema/raw/master/csl-citation.json"}</w:instrText>
      </w:r>
      <w:r w:rsidR="00B73B87">
        <w:rPr>
          <w:rFonts w:cs="Times New Roman"/>
          <w:szCs w:val="24"/>
        </w:rPr>
        <w:fldChar w:fldCharType="separate"/>
      </w:r>
      <w:r w:rsidR="00B73B87" w:rsidRPr="00B73B87">
        <w:rPr>
          <w:rFonts w:cs="Times New Roman"/>
          <w:noProof/>
          <w:szCs w:val="24"/>
        </w:rPr>
        <w:t>(Corkrey et al., 2008; Hiby et al., 2013; Link, Yoshizaki, Bailey, &amp; Pollock, 2010; McClintock et al., 2013; Wilson, Hammond, &amp; Thompson, 1999)</w:t>
      </w:r>
      <w:r w:rsidR="00B73B87">
        <w:rPr>
          <w:rFonts w:cs="Times New Roman"/>
          <w:szCs w:val="24"/>
        </w:rPr>
        <w:fldChar w:fldCharType="end"/>
      </w:r>
      <w:r w:rsidRPr="00BC5722">
        <w:rPr>
          <w:rFonts w:cs="Times New Roman"/>
          <w:szCs w:val="24"/>
        </w:rPr>
        <w:t xml:space="preserve"> could be extended to photographic studies where identification was based on patterns or markings on three regions of the body (dorsum, left flank, right flank).  We determined that for our study, with three body regions and &gt;240 survey occasions, model likelihoods would be prohibitively complex, therefore we did not pursue this alternative.</w:t>
      </w:r>
    </w:p>
    <w:p w14:paraId="552EF6DF" w14:textId="55FC3ADC" w:rsidR="00773EA8" w:rsidRPr="00BC5722" w:rsidRDefault="00773EA8" w:rsidP="00773EA8">
      <w:pPr>
        <w:tabs>
          <w:tab w:val="left" w:pos="360"/>
        </w:tabs>
        <w:spacing w:line="480" w:lineRule="auto"/>
        <w:rPr>
          <w:rFonts w:cs="Times New Roman"/>
          <w:szCs w:val="24"/>
        </w:rPr>
      </w:pPr>
      <w:r w:rsidRPr="00BC5722">
        <w:rPr>
          <w:rFonts w:cs="Times New Roman"/>
          <w:szCs w:val="24"/>
        </w:rPr>
        <w:tab/>
        <w:t xml:space="preserve">To compare how methods to account for bias could affect parameter estimates, we implemented each of the three strategies detailed above to estimate survival of post-metamorphic leopard frogs.  Specifically, we created three sets of encounter histories: 1) histories for all individuals and partial spot maps that included all observations (uncensored), 2) histories for only those individuals whose spot patterns were mapped completely, including all observations of each individual (uncensored), and 3) histories for all individuals and partial spot maps, </w:t>
      </w:r>
      <w:r w:rsidRPr="00BC5722">
        <w:rPr>
          <w:rFonts w:cs="Times New Roman"/>
          <w:szCs w:val="24"/>
        </w:rPr>
        <w:lastRenderedPageBreak/>
        <w:t>excluding the initia</w:t>
      </w:r>
      <w:r>
        <w:rPr>
          <w:rFonts w:cs="Times New Roman"/>
          <w:szCs w:val="24"/>
        </w:rPr>
        <w:t>l observation (censored; Table S</w:t>
      </w:r>
      <w:r w:rsidRPr="00BC5722">
        <w:rPr>
          <w:rFonts w:cs="Times New Roman"/>
          <w:szCs w:val="24"/>
        </w:rPr>
        <w:t xml:space="preserve">1).  For each set of encounter histories, we estimated apparent monthly survival </w:t>
      </w:r>
      <w:r w:rsidR="00162B6E">
        <w:rPr>
          <w:rFonts w:cs="Times New Roman"/>
          <w:szCs w:val="24"/>
        </w:rPr>
        <w:t xml:space="preserve">with an intercept-only </w:t>
      </w:r>
      <w:r w:rsidRPr="00BC5722">
        <w:rPr>
          <w:rFonts w:cs="Times New Roman"/>
          <w:szCs w:val="24"/>
        </w:rPr>
        <w:t>model (i.e., constant survival and recapture probability) and a model that allowed survival to vary with surface-water availability, temperature, dew point, and perimeter groundcover and allowed recapture probability to vary with surface-water availability, temperature, humidity, wind, perimeter groundcover, and year (see Methods section for description of covariates).</w:t>
      </w:r>
    </w:p>
    <w:p w14:paraId="05C1A3E7" w14:textId="77777777" w:rsidR="00773EA8" w:rsidRDefault="00773EA8" w:rsidP="00773EA8">
      <w:pPr>
        <w:keepNext/>
        <w:tabs>
          <w:tab w:val="left" w:pos="360"/>
        </w:tabs>
        <w:spacing w:line="480" w:lineRule="auto"/>
        <w:rPr>
          <w:rFonts w:cs="Times New Roman"/>
          <w:b/>
          <w:szCs w:val="24"/>
        </w:rPr>
      </w:pPr>
    </w:p>
    <w:p w14:paraId="70B9950E" w14:textId="77777777" w:rsidR="00773EA8" w:rsidRPr="00BC5722" w:rsidRDefault="00773EA8" w:rsidP="00773EA8">
      <w:pPr>
        <w:keepNext/>
        <w:tabs>
          <w:tab w:val="left" w:pos="360"/>
        </w:tabs>
        <w:spacing w:line="480" w:lineRule="auto"/>
        <w:rPr>
          <w:rFonts w:cs="Times New Roman"/>
          <w:b/>
          <w:szCs w:val="24"/>
        </w:rPr>
      </w:pPr>
      <w:r w:rsidRPr="00BC5722">
        <w:rPr>
          <w:rFonts w:cs="Times New Roman"/>
          <w:b/>
          <w:szCs w:val="24"/>
        </w:rPr>
        <w:t>RESULTS AND DISCUSSION</w:t>
      </w:r>
    </w:p>
    <w:p w14:paraId="1A982683" w14:textId="5B3F5F60" w:rsidR="00773EA8" w:rsidRPr="00BC5722" w:rsidRDefault="00773EA8" w:rsidP="00773EA8">
      <w:pPr>
        <w:pStyle w:val="CommentText"/>
        <w:tabs>
          <w:tab w:val="left" w:pos="360"/>
        </w:tabs>
        <w:spacing w:line="480" w:lineRule="auto"/>
        <w:rPr>
          <w:rFonts w:cs="Times New Roman"/>
          <w:sz w:val="24"/>
          <w:szCs w:val="24"/>
        </w:rPr>
      </w:pPr>
      <w:r w:rsidRPr="00BC5722">
        <w:rPr>
          <w:rFonts w:cs="Times New Roman"/>
          <w:sz w:val="24"/>
          <w:szCs w:val="24"/>
        </w:rPr>
        <w:t>As expected, estimates of survival based on censored encounter histories were slightly higher and less precise than estimates based on uncensored encounter histories of all individual</w:t>
      </w:r>
      <w:r>
        <w:rPr>
          <w:rFonts w:cs="Times New Roman"/>
          <w:sz w:val="24"/>
          <w:szCs w:val="24"/>
        </w:rPr>
        <w:t>s and partial spot maps (Table S</w:t>
      </w:r>
      <w:r w:rsidRPr="00BC5722">
        <w:rPr>
          <w:rFonts w:cs="Times New Roman"/>
          <w:sz w:val="24"/>
          <w:szCs w:val="24"/>
        </w:rPr>
        <w:t>1).  Estimates based on censored histories were</w:t>
      </w:r>
      <w:r w:rsidR="00A97D32">
        <w:rPr>
          <w:rFonts w:cs="Times New Roman"/>
          <w:sz w:val="24"/>
          <w:szCs w:val="24"/>
        </w:rPr>
        <w:t xml:space="preserve"> also</w:t>
      </w:r>
      <w:r w:rsidRPr="00BC5722">
        <w:rPr>
          <w:rFonts w:cs="Times New Roman"/>
          <w:sz w:val="24"/>
          <w:szCs w:val="24"/>
        </w:rPr>
        <w:t xml:space="preserve"> 4% lower than estimates based on only those individuals whose spot patterns were mapped completely.  Methods used to account for bias did not seem to affect inferences about the factors governing variation in survival over space and time, as regression coefficients from analyses that used censored encounter histories were similar to regression coefficients from both analyses that used uncenso</w:t>
      </w:r>
      <w:r>
        <w:rPr>
          <w:rFonts w:cs="Times New Roman"/>
          <w:sz w:val="24"/>
          <w:szCs w:val="24"/>
        </w:rPr>
        <w:t>red encounter histories (Table S</w:t>
      </w:r>
      <w:r w:rsidRPr="00BC5722">
        <w:rPr>
          <w:rFonts w:cs="Times New Roman"/>
          <w:sz w:val="24"/>
          <w:szCs w:val="24"/>
        </w:rPr>
        <w:t>1).</w:t>
      </w:r>
    </w:p>
    <w:p w14:paraId="5A0A1CC5" w14:textId="0644FC90" w:rsidR="00773EA8" w:rsidRDefault="00773EA8" w:rsidP="00773EA8">
      <w:pPr>
        <w:pStyle w:val="CommentText"/>
        <w:tabs>
          <w:tab w:val="left" w:pos="360"/>
        </w:tabs>
        <w:spacing w:line="480" w:lineRule="auto"/>
        <w:rPr>
          <w:rFonts w:cs="Times New Roman"/>
          <w:sz w:val="24"/>
          <w:szCs w:val="24"/>
        </w:rPr>
      </w:pPr>
      <w:r w:rsidRPr="00BC5722">
        <w:rPr>
          <w:rFonts w:cs="Times New Roman"/>
          <w:sz w:val="24"/>
          <w:szCs w:val="24"/>
        </w:rPr>
        <w:tab/>
        <w:t xml:space="preserve">Although our use of in-situ photographs introduced the possibility of identification errors, we viewed these costs as reasonable given that non-invasive methods allowed us to survey frogs multiple times per year, providing valuable insights about the factors that govern seasonal variation in survival of lowland leopard frogs.  Among the strategies that could be used to account for these errors, censoring methods reduced potential sources of bias while incurring minimal costs associated with precision of parameter estimates.  Although surely imperfect, this </w:t>
      </w:r>
      <w:r w:rsidRPr="00BC5722">
        <w:rPr>
          <w:rFonts w:cs="Times New Roman"/>
          <w:sz w:val="24"/>
          <w:szCs w:val="24"/>
        </w:rPr>
        <w:lastRenderedPageBreak/>
        <w:t>approach seemed preferable to those that ignored known sources of bias or used only a subset of individuals that may not have been representative of the larger population.</w:t>
      </w:r>
    </w:p>
    <w:p w14:paraId="1F99E579" w14:textId="77777777" w:rsidR="00F30F5D" w:rsidRDefault="00F30F5D" w:rsidP="00773EA8">
      <w:pPr>
        <w:pStyle w:val="CommentText"/>
        <w:tabs>
          <w:tab w:val="left" w:pos="360"/>
        </w:tabs>
        <w:spacing w:line="480" w:lineRule="auto"/>
        <w:rPr>
          <w:rFonts w:cs="Times New Roman"/>
          <w:sz w:val="24"/>
          <w:szCs w:val="24"/>
        </w:rPr>
      </w:pPr>
    </w:p>
    <w:p w14:paraId="50FE9FB6" w14:textId="77777777" w:rsidR="00773EA8" w:rsidRPr="00BC5722" w:rsidRDefault="00773EA8" w:rsidP="00B73B87">
      <w:pPr>
        <w:keepNext/>
        <w:widowControl w:val="0"/>
        <w:autoSpaceDE w:val="0"/>
        <w:autoSpaceDN w:val="0"/>
        <w:adjustRightInd w:val="0"/>
        <w:ind w:left="475" w:hanging="475"/>
        <w:rPr>
          <w:rFonts w:cs="Times New Roman"/>
          <w:b/>
          <w:noProof/>
          <w:szCs w:val="24"/>
        </w:rPr>
      </w:pPr>
      <w:r w:rsidRPr="00BC5722">
        <w:rPr>
          <w:rFonts w:cs="Times New Roman"/>
          <w:b/>
          <w:noProof/>
          <w:szCs w:val="24"/>
        </w:rPr>
        <w:t>LITERATURE CITED</w:t>
      </w:r>
    </w:p>
    <w:p w14:paraId="5341E368" w14:textId="6720BF45" w:rsidR="00773EA8" w:rsidRDefault="00773EA8" w:rsidP="00B73B87">
      <w:pPr>
        <w:keepNext/>
        <w:widowControl w:val="0"/>
        <w:autoSpaceDE w:val="0"/>
        <w:autoSpaceDN w:val="0"/>
        <w:adjustRightInd w:val="0"/>
        <w:ind w:left="475" w:hanging="475"/>
        <w:rPr>
          <w:rFonts w:cs="Times New Roman"/>
          <w:noProof/>
          <w:szCs w:val="24"/>
        </w:rPr>
      </w:pPr>
    </w:p>
    <w:p w14:paraId="795616D7" w14:textId="4B65D864" w:rsidR="00F47061" w:rsidRPr="00F47061" w:rsidRDefault="00B73B87" w:rsidP="00F47061">
      <w:pPr>
        <w:widowControl w:val="0"/>
        <w:autoSpaceDE w:val="0"/>
        <w:autoSpaceDN w:val="0"/>
        <w:adjustRightInd w:val="0"/>
        <w:spacing w:after="120"/>
        <w:ind w:left="480" w:hanging="480"/>
        <w:rPr>
          <w:rFonts w:cs="Times New Roman"/>
          <w:noProof/>
          <w:szCs w:val="24"/>
        </w:rPr>
      </w:pPr>
      <w:r>
        <w:rPr>
          <w:rFonts w:cs="Times New Roman"/>
          <w:noProof/>
          <w:szCs w:val="24"/>
        </w:rPr>
        <w:fldChar w:fldCharType="begin" w:fldLock="1"/>
      </w:r>
      <w:r>
        <w:rPr>
          <w:rFonts w:cs="Times New Roman"/>
          <w:noProof/>
          <w:szCs w:val="24"/>
        </w:rPr>
        <w:instrText xml:space="preserve">ADDIN Mendeley Bibliography CSL_BIBLIOGRAPHY </w:instrText>
      </w:r>
      <w:r>
        <w:rPr>
          <w:rFonts w:cs="Times New Roman"/>
          <w:noProof/>
          <w:szCs w:val="24"/>
        </w:rPr>
        <w:fldChar w:fldCharType="separate"/>
      </w:r>
      <w:r w:rsidR="00F47061" w:rsidRPr="00F47061">
        <w:rPr>
          <w:rFonts w:cs="Times New Roman"/>
          <w:noProof/>
          <w:szCs w:val="24"/>
        </w:rPr>
        <w:t xml:space="preserve">Corkrey, R., Brooks, S., Lusseau, D., Parsons, K., Durban, J. W., Hammond, P. S., &amp; Thompson, P. M. (2008). A Bayesian capture–recapture population model with simultaneous estimation of heterogeneity. </w:t>
      </w:r>
      <w:r w:rsidR="00F47061" w:rsidRPr="00F47061">
        <w:rPr>
          <w:rFonts w:cs="Times New Roman"/>
          <w:i/>
          <w:iCs/>
          <w:noProof/>
          <w:szCs w:val="24"/>
        </w:rPr>
        <w:t>Journal of the American Statistical Association</w:t>
      </w:r>
      <w:r w:rsidR="00F47061" w:rsidRPr="00F47061">
        <w:rPr>
          <w:rFonts w:cs="Times New Roman"/>
          <w:noProof/>
          <w:szCs w:val="24"/>
        </w:rPr>
        <w:t xml:space="preserve">, </w:t>
      </w:r>
      <w:r w:rsidR="00F47061" w:rsidRPr="00F47061">
        <w:rPr>
          <w:rFonts w:cs="Times New Roman"/>
          <w:i/>
          <w:iCs/>
          <w:noProof/>
          <w:szCs w:val="24"/>
        </w:rPr>
        <w:t>103</w:t>
      </w:r>
      <w:r w:rsidR="00F47061" w:rsidRPr="00F47061">
        <w:rPr>
          <w:rFonts w:cs="Times New Roman"/>
          <w:noProof/>
          <w:szCs w:val="24"/>
        </w:rPr>
        <w:t>, 948–960.</w:t>
      </w:r>
    </w:p>
    <w:p w14:paraId="76B72EE3" w14:textId="77777777" w:rsidR="00F47061" w:rsidRPr="00F47061" w:rsidRDefault="00F47061" w:rsidP="00F47061">
      <w:pPr>
        <w:widowControl w:val="0"/>
        <w:autoSpaceDE w:val="0"/>
        <w:autoSpaceDN w:val="0"/>
        <w:adjustRightInd w:val="0"/>
        <w:spacing w:after="120"/>
        <w:ind w:left="480" w:hanging="480"/>
        <w:rPr>
          <w:rFonts w:cs="Times New Roman"/>
          <w:noProof/>
          <w:szCs w:val="24"/>
        </w:rPr>
      </w:pPr>
      <w:r w:rsidRPr="00F47061">
        <w:rPr>
          <w:rFonts w:cs="Times New Roman"/>
          <w:noProof/>
          <w:szCs w:val="24"/>
        </w:rPr>
        <w:t xml:space="preserve">Hiby, L., Paterson, W. D., Redman, P., Watkins, J., Twiss, S. D., &amp; Pomeroy, P. (2013). Analysis of photo-id data allowing for missed matches and individuals identified from opposite sides. </w:t>
      </w:r>
      <w:r w:rsidRPr="00F47061">
        <w:rPr>
          <w:rFonts w:cs="Times New Roman"/>
          <w:i/>
          <w:iCs/>
          <w:noProof/>
          <w:szCs w:val="24"/>
        </w:rPr>
        <w:t>Methods in Ecology and Evolution</w:t>
      </w:r>
      <w:r w:rsidRPr="00F47061">
        <w:rPr>
          <w:rFonts w:cs="Times New Roman"/>
          <w:noProof/>
          <w:szCs w:val="24"/>
        </w:rPr>
        <w:t xml:space="preserve">, </w:t>
      </w:r>
      <w:r w:rsidRPr="00F47061">
        <w:rPr>
          <w:rFonts w:cs="Times New Roman"/>
          <w:i/>
          <w:iCs/>
          <w:noProof/>
          <w:szCs w:val="24"/>
        </w:rPr>
        <w:t>4</w:t>
      </w:r>
      <w:r w:rsidRPr="00F47061">
        <w:rPr>
          <w:rFonts w:cs="Times New Roman"/>
          <w:noProof/>
          <w:szCs w:val="24"/>
        </w:rPr>
        <w:t>, 252–259.</w:t>
      </w:r>
    </w:p>
    <w:p w14:paraId="6C8EB32C" w14:textId="77777777" w:rsidR="00F47061" w:rsidRPr="00F47061" w:rsidRDefault="00F47061" w:rsidP="00F47061">
      <w:pPr>
        <w:widowControl w:val="0"/>
        <w:autoSpaceDE w:val="0"/>
        <w:autoSpaceDN w:val="0"/>
        <w:adjustRightInd w:val="0"/>
        <w:spacing w:after="120"/>
        <w:ind w:left="480" w:hanging="480"/>
        <w:rPr>
          <w:rFonts w:cs="Times New Roman"/>
          <w:noProof/>
          <w:szCs w:val="24"/>
        </w:rPr>
      </w:pPr>
      <w:r w:rsidRPr="00F47061">
        <w:rPr>
          <w:rFonts w:cs="Times New Roman"/>
          <w:noProof/>
          <w:szCs w:val="24"/>
        </w:rPr>
        <w:t xml:space="preserve">Link, W. A., Yoshizaki, J., Bailey, L. L., &amp; Pollock, K. H. (2010). Uncovering a latent multinomial: analysis of mark-recapture data with misidentification. </w:t>
      </w:r>
      <w:r w:rsidRPr="00F47061">
        <w:rPr>
          <w:rFonts w:cs="Times New Roman"/>
          <w:i/>
          <w:iCs/>
          <w:noProof/>
          <w:szCs w:val="24"/>
        </w:rPr>
        <w:t>Biometrics</w:t>
      </w:r>
      <w:r w:rsidRPr="00F47061">
        <w:rPr>
          <w:rFonts w:cs="Times New Roman"/>
          <w:noProof/>
          <w:szCs w:val="24"/>
        </w:rPr>
        <w:t xml:space="preserve">, </w:t>
      </w:r>
      <w:r w:rsidRPr="00F47061">
        <w:rPr>
          <w:rFonts w:cs="Times New Roman"/>
          <w:i/>
          <w:iCs/>
          <w:noProof/>
          <w:szCs w:val="24"/>
        </w:rPr>
        <w:t>66</w:t>
      </w:r>
      <w:r w:rsidRPr="00F47061">
        <w:rPr>
          <w:rFonts w:cs="Times New Roman"/>
          <w:noProof/>
          <w:szCs w:val="24"/>
        </w:rPr>
        <w:t>, 178–185.</w:t>
      </w:r>
    </w:p>
    <w:p w14:paraId="397C90CD" w14:textId="77777777" w:rsidR="00F47061" w:rsidRPr="00F47061" w:rsidRDefault="00F47061" w:rsidP="00F47061">
      <w:pPr>
        <w:widowControl w:val="0"/>
        <w:autoSpaceDE w:val="0"/>
        <w:autoSpaceDN w:val="0"/>
        <w:adjustRightInd w:val="0"/>
        <w:spacing w:after="120"/>
        <w:ind w:left="480" w:hanging="480"/>
        <w:rPr>
          <w:rFonts w:cs="Times New Roman"/>
          <w:noProof/>
          <w:szCs w:val="24"/>
        </w:rPr>
      </w:pPr>
      <w:r w:rsidRPr="00F47061">
        <w:rPr>
          <w:rFonts w:cs="Times New Roman"/>
          <w:noProof/>
          <w:szCs w:val="24"/>
        </w:rPr>
        <w:t xml:space="preserve">McClintock, B. T., Conn, P. B., Alonso, R. S., &amp; Crooks, K. R. (2013). Integrated modeling of bilateral photo-identification data in mark-recapture analyses. </w:t>
      </w:r>
      <w:r w:rsidRPr="00F47061">
        <w:rPr>
          <w:rFonts w:cs="Times New Roman"/>
          <w:i/>
          <w:iCs/>
          <w:noProof/>
          <w:szCs w:val="24"/>
        </w:rPr>
        <w:t>Ecology</w:t>
      </w:r>
      <w:r w:rsidRPr="00F47061">
        <w:rPr>
          <w:rFonts w:cs="Times New Roman"/>
          <w:noProof/>
          <w:szCs w:val="24"/>
        </w:rPr>
        <w:t xml:space="preserve">, </w:t>
      </w:r>
      <w:r w:rsidRPr="00F47061">
        <w:rPr>
          <w:rFonts w:cs="Times New Roman"/>
          <w:i/>
          <w:iCs/>
          <w:noProof/>
          <w:szCs w:val="24"/>
        </w:rPr>
        <w:t>94</w:t>
      </w:r>
      <w:r w:rsidRPr="00F47061">
        <w:rPr>
          <w:rFonts w:cs="Times New Roman"/>
          <w:noProof/>
          <w:szCs w:val="24"/>
        </w:rPr>
        <w:t>, 1464–1471.</w:t>
      </w:r>
    </w:p>
    <w:p w14:paraId="7ACBDF03" w14:textId="77777777" w:rsidR="00F47061" w:rsidRPr="00F47061" w:rsidRDefault="00F47061" w:rsidP="00F47061">
      <w:pPr>
        <w:widowControl w:val="0"/>
        <w:autoSpaceDE w:val="0"/>
        <w:autoSpaceDN w:val="0"/>
        <w:adjustRightInd w:val="0"/>
        <w:spacing w:after="120"/>
        <w:ind w:left="480" w:hanging="480"/>
        <w:rPr>
          <w:rFonts w:cs="Times New Roman"/>
          <w:noProof/>
          <w:szCs w:val="24"/>
        </w:rPr>
      </w:pPr>
      <w:r w:rsidRPr="00F47061">
        <w:rPr>
          <w:rFonts w:cs="Times New Roman"/>
          <w:noProof/>
          <w:szCs w:val="24"/>
        </w:rPr>
        <w:t xml:space="preserve">Morrison, T. A., Yoshizaki, J., Nichols, J. D., &amp; Bolger, D. T. (2011). Estimating survival in photographic capture-recapture studies: overcoming misidentification error. </w:t>
      </w:r>
      <w:r w:rsidRPr="00F47061">
        <w:rPr>
          <w:rFonts w:cs="Times New Roman"/>
          <w:i/>
          <w:iCs/>
          <w:noProof/>
          <w:szCs w:val="24"/>
        </w:rPr>
        <w:t>Methods in Ecology and Evolution</w:t>
      </w:r>
      <w:r w:rsidRPr="00F47061">
        <w:rPr>
          <w:rFonts w:cs="Times New Roman"/>
          <w:noProof/>
          <w:szCs w:val="24"/>
        </w:rPr>
        <w:t xml:space="preserve">, </w:t>
      </w:r>
      <w:r w:rsidRPr="00F47061">
        <w:rPr>
          <w:rFonts w:cs="Times New Roman"/>
          <w:i/>
          <w:iCs/>
          <w:noProof/>
          <w:szCs w:val="24"/>
        </w:rPr>
        <w:t>2</w:t>
      </w:r>
      <w:r w:rsidRPr="00F47061">
        <w:rPr>
          <w:rFonts w:cs="Times New Roman"/>
          <w:noProof/>
          <w:szCs w:val="24"/>
        </w:rPr>
        <w:t>, 454–463.</w:t>
      </w:r>
    </w:p>
    <w:p w14:paraId="7A376E6C" w14:textId="77777777" w:rsidR="00F47061" w:rsidRPr="00F47061" w:rsidRDefault="00F47061" w:rsidP="00F47061">
      <w:pPr>
        <w:widowControl w:val="0"/>
        <w:autoSpaceDE w:val="0"/>
        <w:autoSpaceDN w:val="0"/>
        <w:adjustRightInd w:val="0"/>
        <w:spacing w:after="120"/>
        <w:ind w:left="480" w:hanging="480"/>
        <w:rPr>
          <w:rFonts w:cs="Times New Roman"/>
          <w:noProof/>
          <w:szCs w:val="24"/>
        </w:rPr>
      </w:pPr>
      <w:r w:rsidRPr="00F47061">
        <w:rPr>
          <w:rFonts w:cs="Times New Roman"/>
          <w:noProof/>
          <w:szCs w:val="24"/>
        </w:rPr>
        <w:t xml:space="preserve">Williams, B. K., Nichols, J. D., &amp; Conroy, M. J. (2002). </w:t>
      </w:r>
      <w:r w:rsidRPr="00F47061">
        <w:rPr>
          <w:rFonts w:cs="Times New Roman"/>
          <w:i/>
          <w:iCs/>
          <w:noProof/>
          <w:szCs w:val="24"/>
        </w:rPr>
        <w:t>Analysis and management of animal populations</w:t>
      </w:r>
      <w:r w:rsidRPr="00F47061">
        <w:rPr>
          <w:rFonts w:cs="Times New Roman"/>
          <w:noProof/>
          <w:szCs w:val="24"/>
        </w:rPr>
        <w:t>. San Diego, CA: Academic Press.</w:t>
      </w:r>
    </w:p>
    <w:p w14:paraId="3B941AA6" w14:textId="77777777" w:rsidR="00F47061" w:rsidRPr="00F47061" w:rsidRDefault="00F47061" w:rsidP="00F47061">
      <w:pPr>
        <w:widowControl w:val="0"/>
        <w:autoSpaceDE w:val="0"/>
        <w:autoSpaceDN w:val="0"/>
        <w:adjustRightInd w:val="0"/>
        <w:spacing w:after="120"/>
        <w:ind w:left="480" w:hanging="480"/>
        <w:rPr>
          <w:rFonts w:cs="Times New Roman"/>
          <w:noProof/>
        </w:rPr>
      </w:pPr>
      <w:r w:rsidRPr="00F47061">
        <w:rPr>
          <w:rFonts w:cs="Times New Roman"/>
          <w:noProof/>
          <w:szCs w:val="24"/>
        </w:rPr>
        <w:t xml:space="preserve">Wilson, B., Hammond, P. S., &amp; Thompson, P. M. (1999). Estimating size and assessing trends in a coastal bottlenose dolphin population. </w:t>
      </w:r>
      <w:r w:rsidRPr="00F47061">
        <w:rPr>
          <w:rFonts w:cs="Times New Roman"/>
          <w:i/>
          <w:iCs/>
          <w:noProof/>
          <w:szCs w:val="24"/>
        </w:rPr>
        <w:t>Ecological Applications</w:t>
      </w:r>
      <w:r w:rsidRPr="00F47061">
        <w:rPr>
          <w:rFonts w:cs="Times New Roman"/>
          <w:noProof/>
          <w:szCs w:val="24"/>
        </w:rPr>
        <w:t xml:space="preserve">, </w:t>
      </w:r>
      <w:r w:rsidRPr="00F47061">
        <w:rPr>
          <w:rFonts w:cs="Times New Roman"/>
          <w:i/>
          <w:iCs/>
          <w:noProof/>
          <w:szCs w:val="24"/>
        </w:rPr>
        <w:t>9</w:t>
      </w:r>
      <w:r w:rsidRPr="00F47061">
        <w:rPr>
          <w:rFonts w:cs="Times New Roman"/>
          <w:noProof/>
          <w:szCs w:val="24"/>
        </w:rPr>
        <w:t>, 288–300.</w:t>
      </w:r>
    </w:p>
    <w:p w14:paraId="215C6DAF" w14:textId="7F3F891F" w:rsidR="00B73B87" w:rsidRDefault="00B73B87" w:rsidP="00B73B87">
      <w:pPr>
        <w:widowControl w:val="0"/>
        <w:autoSpaceDE w:val="0"/>
        <w:autoSpaceDN w:val="0"/>
        <w:adjustRightInd w:val="0"/>
        <w:spacing w:after="120"/>
        <w:rPr>
          <w:rFonts w:cs="Times New Roman"/>
          <w:noProof/>
          <w:szCs w:val="24"/>
        </w:rPr>
      </w:pPr>
      <w:r>
        <w:rPr>
          <w:rFonts w:cs="Times New Roman"/>
          <w:noProof/>
          <w:szCs w:val="24"/>
        </w:rPr>
        <w:fldChar w:fldCharType="end"/>
      </w:r>
    </w:p>
    <w:p w14:paraId="437C5C27" w14:textId="77777777" w:rsidR="00B73B87" w:rsidRDefault="00B73B87">
      <w:pPr>
        <w:rPr>
          <w:rFonts w:cs="Times New Roman"/>
          <w:noProof/>
          <w:szCs w:val="24"/>
        </w:rPr>
      </w:pPr>
      <w:r>
        <w:rPr>
          <w:rFonts w:cs="Times New Roman"/>
          <w:noProof/>
          <w:szCs w:val="24"/>
        </w:rPr>
        <w:br w:type="page"/>
      </w:r>
    </w:p>
    <w:p w14:paraId="1352A597" w14:textId="5D56F353" w:rsidR="00B73B87" w:rsidRDefault="00B73B87" w:rsidP="00226888">
      <w:pPr>
        <w:tabs>
          <w:tab w:val="left" w:pos="360"/>
        </w:tabs>
        <w:rPr>
          <w:rFonts w:cs="Times New Roman"/>
          <w:szCs w:val="24"/>
        </w:rPr>
      </w:pPr>
      <w:r w:rsidRPr="00611C77">
        <w:rPr>
          <w:rFonts w:cs="Times New Roman"/>
          <w:b/>
          <w:caps/>
          <w:szCs w:val="24"/>
        </w:rPr>
        <w:lastRenderedPageBreak/>
        <w:t>Table S1</w:t>
      </w:r>
      <w:r w:rsidRPr="00BC5722">
        <w:rPr>
          <w:rFonts w:cs="Times New Roman"/>
          <w:b/>
          <w:szCs w:val="24"/>
        </w:rPr>
        <w:t>.</w:t>
      </w:r>
      <w:r w:rsidRPr="00BC5722">
        <w:rPr>
          <w:rFonts w:cs="Times New Roman"/>
          <w:szCs w:val="24"/>
        </w:rPr>
        <w:t xml:space="preserve">  Parameter estimates </w:t>
      </w:r>
      <w:r w:rsidR="000B7A56">
        <w:rPr>
          <w:rFonts w:cs="Times New Roman"/>
          <w:szCs w:val="24"/>
        </w:rPr>
        <w:t xml:space="preserve">(and </w:t>
      </w:r>
      <w:r w:rsidR="000B7A56" w:rsidRPr="00BC5722">
        <w:rPr>
          <w:rFonts w:cs="Times New Roman"/>
          <w:szCs w:val="24"/>
        </w:rPr>
        <w:t>95% confidence intervals</w:t>
      </w:r>
      <w:r w:rsidR="000B7A56">
        <w:rPr>
          <w:rFonts w:cs="Times New Roman"/>
          <w:szCs w:val="24"/>
        </w:rPr>
        <w:t xml:space="preserve">) </w:t>
      </w:r>
      <w:r w:rsidRPr="00BC5722">
        <w:rPr>
          <w:rFonts w:cs="Times New Roman"/>
          <w:szCs w:val="24"/>
        </w:rPr>
        <w:t xml:space="preserve">from models evaluating post-metamorphic survival of lowland leopard frogs based on </w:t>
      </w:r>
      <w:r w:rsidR="000B7A56">
        <w:rPr>
          <w:rFonts w:cs="Times New Roman"/>
          <w:szCs w:val="24"/>
        </w:rPr>
        <w:t xml:space="preserve">three sets of encounter histories:  </w:t>
      </w:r>
      <w:r w:rsidRPr="00BC5722">
        <w:rPr>
          <w:rFonts w:cs="Times New Roman"/>
          <w:szCs w:val="24"/>
        </w:rPr>
        <w:t xml:space="preserve">1) all individuals and partial spot maps, </w:t>
      </w:r>
      <w:r w:rsidR="000B7A56" w:rsidRPr="00BC5722">
        <w:rPr>
          <w:rFonts w:cs="Times New Roman"/>
          <w:szCs w:val="24"/>
        </w:rPr>
        <w:t>uncensored</w:t>
      </w:r>
      <w:r w:rsidR="000B7A56">
        <w:rPr>
          <w:rFonts w:cs="Times New Roman"/>
          <w:szCs w:val="24"/>
        </w:rPr>
        <w:t xml:space="preserve">; </w:t>
      </w:r>
      <w:r w:rsidRPr="00BC5722">
        <w:rPr>
          <w:rFonts w:cs="Times New Roman"/>
          <w:szCs w:val="24"/>
        </w:rPr>
        <w:t xml:space="preserve">2) only those individuals </w:t>
      </w:r>
      <w:r w:rsidR="000B7A56">
        <w:rPr>
          <w:rFonts w:cs="Times New Roman"/>
          <w:szCs w:val="24"/>
        </w:rPr>
        <w:t xml:space="preserve">with </w:t>
      </w:r>
      <w:r w:rsidRPr="00BC5722">
        <w:rPr>
          <w:rFonts w:cs="Times New Roman"/>
          <w:szCs w:val="24"/>
        </w:rPr>
        <w:t xml:space="preserve">spot patterns that were mapped completely, </w:t>
      </w:r>
      <w:r w:rsidR="000B7A56" w:rsidRPr="00BC5722">
        <w:rPr>
          <w:rFonts w:cs="Times New Roman"/>
          <w:szCs w:val="24"/>
        </w:rPr>
        <w:t>uncensored</w:t>
      </w:r>
      <w:r w:rsidR="000B7A56">
        <w:rPr>
          <w:rFonts w:cs="Times New Roman"/>
          <w:szCs w:val="24"/>
        </w:rPr>
        <w:t xml:space="preserve">; </w:t>
      </w:r>
      <w:r w:rsidRPr="00BC5722">
        <w:rPr>
          <w:rFonts w:cs="Times New Roman"/>
          <w:szCs w:val="24"/>
        </w:rPr>
        <w:t>and 3) all individuals and partial spot maps</w:t>
      </w:r>
      <w:r w:rsidR="000B7A56">
        <w:rPr>
          <w:rFonts w:cs="Times New Roman"/>
          <w:szCs w:val="24"/>
        </w:rPr>
        <w:t xml:space="preserve">, with </w:t>
      </w:r>
      <w:r w:rsidR="000B7A56" w:rsidRPr="00BC5722">
        <w:rPr>
          <w:rFonts w:cs="Times New Roman"/>
          <w:szCs w:val="24"/>
        </w:rPr>
        <w:t>the initial observation of each spot map</w:t>
      </w:r>
      <w:r w:rsidR="000B7A56">
        <w:rPr>
          <w:rFonts w:cs="Times New Roman"/>
          <w:szCs w:val="24"/>
        </w:rPr>
        <w:t xml:space="preserve"> censored</w:t>
      </w:r>
      <w:r w:rsidRPr="00BC5722">
        <w:rPr>
          <w:rFonts w:cs="Times New Roman"/>
          <w:szCs w:val="24"/>
        </w:rPr>
        <w:t xml:space="preserve">.  We report estimates of monthly apparent survival, </w:t>
      </w:r>
      <m:oMath>
        <m:acc>
          <m:accPr>
            <m:ctrlPr>
              <w:rPr>
                <w:rFonts w:ascii="Cambria Math" w:hAnsi="Cambria Math" w:cs="Times New Roman"/>
                <w:szCs w:val="24"/>
              </w:rPr>
            </m:ctrlPr>
          </m:accPr>
          <m:e>
            <m:r>
              <m:rPr>
                <m:sty m:val="p"/>
              </m:rPr>
              <w:rPr>
                <w:rFonts w:ascii="Cambria Math" w:hAnsi="Cambria Math" w:cs="Times New Roman"/>
                <w:szCs w:val="24"/>
              </w:rPr>
              <m:t>ϕ</m:t>
            </m:r>
          </m:e>
        </m:acc>
      </m:oMath>
      <w:r w:rsidR="00883BF7">
        <w:rPr>
          <w:rFonts w:cs="Times New Roman"/>
          <w:szCs w:val="24"/>
        </w:rPr>
        <w:t xml:space="preserve">, </w:t>
      </w:r>
      <w:r w:rsidRPr="00BC5722">
        <w:rPr>
          <w:rFonts w:cs="Times New Roman"/>
          <w:szCs w:val="24"/>
        </w:rPr>
        <w:t>and associated coefficients of variation (CV) from a</w:t>
      </w:r>
      <w:r w:rsidR="00883BF7">
        <w:rPr>
          <w:rFonts w:cs="Times New Roman"/>
          <w:szCs w:val="24"/>
        </w:rPr>
        <w:t xml:space="preserve">n intercept-only </w:t>
      </w:r>
      <w:r w:rsidRPr="00BC5722">
        <w:rPr>
          <w:rFonts w:cs="Times New Roman"/>
          <w:szCs w:val="24"/>
        </w:rPr>
        <w:t xml:space="preserve">model, and regression coefficients (β) relating monthly apparent survival to surface-water availability (Water), temperature, dew point, and perimeter groundcover </w:t>
      </w:r>
      <w:r w:rsidR="00162B6E" w:rsidRPr="00BC5722">
        <w:rPr>
          <w:rFonts w:cs="Times New Roman"/>
          <w:szCs w:val="24"/>
        </w:rPr>
        <w:t xml:space="preserve">on the logit-scale </w:t>
      </w:r>
      <w:r w:rsidR="007C0334">
        <w:rPr>
          <w:rFonts w:cs="Times New Roman"/>
          <w:szCs w:val="24"/>
        </w:rPr>
        <w:t>from a more general model.  All covariates were standardized relative to their means and standard deviations.</w:t>
      </w:r>
    </w:p>
    <w:p w14:paraId="126959C4" w14:textId="77777777" w:rsidR="00226888" w:rsidRPr="00BC5722" w:rsidRDefault="00226888" w:rsidP="00226888">
      <w:pPr>
        <w:tabs>
          <w:tab w:val="left" w:pos="360"/>
        </w:tabs>
        <w:rPr>
          <w:rFonts w:cs="Times New Roman"/>
          <w:szCs w:val="24"/>
        </w:rPr>
      </w:pPr>
    </w:p>
    <w:tbl>
      <w:tblPr>
        <w:tblStyle w:val="TableGrid"/>
        <w:tblW w:w="93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430"/>
        <w:gridCol w:w="2520"/>
        <w:gridCol w:w="2420"/>
      </w:tblGrid>
      <w:tr w:rsidR="00B73B87" w:rsidRPr="00F358FA" w14:paraId="6133E843" w14:textId="77777777" w:rsidTr="000C7ECB">
        <w:trPr>
          <w:trHeight w:val="360"/>
          <w:jc w:val="center"/>
        </w:trPr>
        <w:tc>
          <w:tcPr>
            <w:tcW w:w="1980" w:type="dxa"/>
            <w:tcBorders>
              <w:top w:val="single" w:sz="4" w:space="0" w:color="auto"/>
              <w:bottom w:val="single" w:sz="4" w:space="0" w:color="auto"/>
            </w:tcBorders>
            <w:vAlign w:val="bottom"/>
          </w:tcPr>
          <w:p w14:paraId="64A759EF" w14:textId="77777777" w:rsidR="00B73B87" w:rsidRPr="00F358FA" w:rsidRDefault="00B73B87" w:rsidP="00EE0D04">
            <w:pPr>
              <w:rPr>
                <w:rFonts w:cs="Times New Roman"/>
                <w:szCs w:val="24"/>
              </w:rPr>
            </w:pPr>
          </w:p>
        </w:tc>
        <w:tc>
          <w:tcPr>
            <w:tcW w:w="2430" w:type="dxa"/>
            <w:tcBorders>
              <w:top w:val="single" w:sz="4" w:space="0" w:color="auto"/>
              <w:bottom w:val="single" w:sz="4" w:space="0" w:color="auto"/>
            </w:tcBorders>
            <w:vAlign w:val="bottom"/>
          </w:tcPr>
          <w:p w14:paraId="03321BFD" w14:textId="701B368B" w:rsidR="00B73B87" w:rsidRPr="00F358FA" w:rsidRDefault="00B73B87" w:rsidP="00883BF7">
            <w:pPr>
              <w:tabs>
                <w:tab w:val="left" w:pos="360"/>
              </w:tabs>
              <w:jc w:val="center"/>
              <w:rPr>
                <w:rFonts w:cs="Times New Roman"/>
                <w:szCs w:val="24"/>
              </w:rPr>
            </w:pPr>
            <w:r w:rsidRPr="00F358FA">
              <w:rPr>
                <w:rFonts w:cs="Times New Roman"/>
                <w:szCs w:val="24"/>
              </w:rPr>
              <w:t xml:space="preserve">All </w:t>
            </w:r>
            <w:r w:rsidR="000B7A56">
              <w:rPr>
                <w:rFonts w:cs="Times New Roman"/>
                <w:szCs w:val="24"/>
              </w:rPr>
              <w:t>individuals</w:t>
            </w:r>
            <w:r w:rsidR="000C7ECB">
              <w:rPr>
                <w:rFonts w:cs="Times New Roman"/>
                <w:szCs w:val="24"/>
              </w:rPr>
              <w:t xml:space="preserve"> and partial spot maps</w:t>
            </w:r>
            <w:r w:rsidRPr="00F358FA">
              <w:rPr>
                <w:rFonts w:cs="Times New Roman"/>
                <w:szCs w:val="24"/>
              </w:rPr>
              <w:t>, uncensored</w:t>
            </w:r>
          </w:p>
        </w:tc>
        <w:tc>
          <w:tcPr>
            <w:tcW w:w="2520" w:type="dxa"/>
            <w:tcBorders>
              <w:top w:val="single" w:sz="4" w:space="0" w:color="auto"/>
              <w:bottom w:val="single" w:sz="4" w:space="0" w:color="auto"/>
            </w:tcBorders>
            <w:vAlign w:val="bottom"/>
          </w:tcPr>
          <w:p w14:paraId="34687D8C" w14:textId="058EF863" w:rsidR="00B73B87" w:rsidRPr="00F358FA" w:rsidRDefault="000B7A56">
            <w:pPr>
              <w:jc w:val="center"/>
              <w:rPr>
                <w:rFonts w:cs="Times New Roman"/>
                <w:szCs w:val="24"/>
              </w:rPr>
            </w:pPr>
            <w:r>
              <w:rPr>
                <w:rFonts w:cs="Times New Roman"/>
                <w:szCs w:val="24"/>
              </w:rPr>
              <w:t xml:space="preserve">Only </w:t>
            </w:r>
            <w:r w:rsidR="00B73B87" w:rsidRPr="00F358FA">
              <w:rPr>
                <w:rFonts w:cs="Times New Roman"/>
                <w:szCs w:val="24"/>
              </w:rPr>
              <w:t>individuals with</w:t>
            </w:r>
            <w:r>
              <w:rPr>
                <w:rFonts w:cs="Times New Roman"/>
                <w:szCs w:val="24"/>
              </w:rPr>
              <w:t xml:space="preserve"> </w:t>
            </w:r>
            <w:r w:rsidRPr="00F358FA">
              <w:rPr>
                <w:rFonts w:cs="Times New Roman"/>
                <w:szCs w:val="24"/>
              </w:rPr>
              <w:t>spot patterns</w:t>
            </w:r>
            <w:r w:rsidR="00B73B87" w:rsidRPr="00F358FA">
              <w:rPr>
                <w:rFonts w:cs="Times New Roman"/>
                <w:szCs w:val="24"/>
              </w:rPr>
              <w:t xml:space="preserve"> </w:t>
            </w:r>
            <w:r>
              <w:rPr>
                <w:rFonts w:cs="Times New Roman"/>
                <w:szCs w:val="24"/>
              </w:rPr>
              <w:t xml:space="preserve">mapped </w:t>
            </w:r>
            <w:r w:rsidR="00B73B87" w:rsidRPr="00F358FA">
              <w:rPr>
                <w:rFonts w:cs="Times New Roman"/>
                <w:szCs w:val="24"/>
              </w:rPr>
              <w:t>completely, uncensored</w:t>
            </w:r>
          </w:p>
        </w:tc>
        <w:tc>
          <w:tcPr>
            <w:tcW w:w="2420" w:type="dxa"/>
            <w:tcBorders>
              <w:top w:val="single" w:sz="4" w:space="0" w:color="auto"/>
              <w:bottom w:val="single" w:sz="4" w:space="0" w:color="auto"/>
            </w:tcBorders>
            <w:vAlign w:val="bottom"/>
          </w:tcPr>
          <w:p w14:paraId="27A52606" w14:textId="58DBA5EF" w:rsidR="00B73B87" w:rsidRPr="00F358FA" w:rsidRDefault="00B73B87" w:rsidP="00EE0D04">
            <w:pPr>
              <w:tabs>
                <w:tab w:val="left" w:pos="360"/>
              </w:tabs>
              <w:jc w:val="center"/>
              <w:rPr>
                <w:rFonts w:cs="Times New Roman"/>
                <w:szCs w:val="24"/>
              </w:rPr>
            </w:pPr>
            <w:r w:rsidRPr="00F358FA">
              <w:rPr>
                <w:rFonts w:cs="Times New Roman"/>
                <w:szCs w:val="24"/>
              </w:rPr>
              <w:t xml:space="preserve">All </w:t>
            </w:r>
            <w:r w:rsidR="000B7A56">
              <w:rPr>
                <w:rFonts w:cs="Times New Roman"/>
                <w:szCs w:val="24"/>
              </w:rPr>
              <w:t>individuals</w:t>
            </w:r>
            <w:r w:rsidR="000C7ECB">
              <w:rPr>
                <w:rFonts w:cs="Times New Roman"/>
                <w:szCs w:val="24"/>
              </w:rPr>
              <w:t xml:space="preserve"> and partial spot maps</w:t>
            </w:r>
            <w:r w:rsidRPr="00F358FA">
              <w:rPr>
                <w:rFonts w:cs="Times New Roman"/>
                <w:szCs w:val="24"/>
              </w:rPr>
              <w:t xml:space="preserve">, </w:t>
            </w:r>
          </w:p>
          <w:p w14:paraId="05B08D93" w14:textId="77777777" w:rsidR="00B73B87" w:rsidRPr="00F358FA" w:rsidRDefault="00B73B87" w:rsidP="00EE0D04">
            <w:pPr>
              <w:tabs>
                <w:tab w:val="left" w:pos="360"/>
              </w:tabs>
              <w:jc w:val="center"/>
              <w:rPr>
                <w:rFonts w:cs="Times New Roman"/>
                <w:szCs w:val="24"/>
              </w:rPr>
            </w:pPr>
            <w:r w:rsidRPr="00F358FA">
              <w:rPr>
                <w:rFonts w:cs="Times New Roman"/>
                <w:szCs w:val="24"/>
              </w:rPr>
              <w:t>censored</w:t>
            </w:r>
          </w:p>
        </w:tc>
      </w:tr>
      <w:tr w:rsidR="00B73B87" w:rsidRPr="00F358FA" w14:paraId="0F9175CF" w14:textId="77777777" w:rsidTr="000C7ECB">
        <w:trPr>
          <w:trHeight w:val="360"/>
          <w:jc w:val="center"/>
        </w:trPr>
        <w:tc>
          <w:tcPr>
            <w:tcW w:w="1980" w:type="dxa"/>
            <w:tcBorders>
              <w:top w:val="single" w:sz="4" w:space="0" w:color="auto"/>
            </w:tcBorders>
            <w:vAlign w:val="bottom"/>
          </w:tcPr>
          <w:p w14:paraId="1F624475" w14:textId="77777777" w:rsidR="00B73B87" w:rsidRPr="00F358FA" w:rsidRDefault="00B73B87" w:rsidP="00EE0D04">
            <w:pPr>
              <w:rPr>
                <w:rFonts w:cs="Times New Roman"/>
                <w:szCs w:val="24"/>
              </w:rPr>
            </w:pPr>
            <w:r w:rsidRPr="00F358FA">
              <w:rPr>
                <w:rFonts w:cs="Times New Roman"/>
                <w:szCs w:val="24"/>
              </w:rPr>
              <w:t>No. encounter histories</w:t>
            </w:r>
          </w:p>
        </w:tc>
        <w:tc>
          <w:tcPr>
            <w:tcW w:w="2430" w:type="dxa"/>
            <w:tcBorders>
              <w:top w:val="single" w:sz="4" w:space="0" w:color="auto"/>
            </w:tcBorders>
            <w:vAlign w:val="bottom"/>
          </w:tcPr>
          <w:p w14:paraId="17E9087C" w14:textId="77777777" w:rsidR="00B73B87" w:rsidRPr="00F358FA" w:rsidRDefault="00B73B87" w:rsidP="00EE0D04">
            <w:pPr>
              <w:jc w:val="center"/>
              <w:rPr>
                <w:rFonts w:cs="Times New Roman"/>
                <w:szCs w:val="24"/>
              </w:rPr>
            </w:pPr>
            <w:r w:rsidRPr="00F358FA">
              <w:rPr>
                <w:rFonts w:cs="Times New Roman"/>
                <w:szCs w:val="24"/>
              </w:rPr>
              <w:t>352</w:t>
            </w:r>
          </w:p>
        </w:tc>
        <w:tc>
          <w:tcPr>
            <w:tcW w:w="2520" w:type="dxa"/>
            <w:tcBorders>
              <w:top w:val="single" w:sz="4" w:space="0" w:color="auto"/>
            </w:tcBorders>
            <w:vAlign w:val="bottom"/>
          </w:tcPr>
          <w:p w14:paraId="61F73790" w14:textId="77777777" w:rsidR="00B73B87" w:rsidRPr="00F358FA" w:rsidRDefault="00B73B87" w:rsidP="00EE0D04">
            <w:pPr>
              <w:jc w:val="center"/>
              <w:rPr>
                <w:rFonts w:cs="Times New Roman"/>
                <w:szCs w:val="24"/>
              </w:rPr>
            </w:pPr>
            <w:r w:rsidRPr="00F358FA">
              <w:rPr>
                <w:rFonts w:cs="Times New Roman"/>
                <w:szCs w:val="24"/>
              </w:rPr>
              <w:t>215</w:t>
            </w:r>
          </w:p>
        </w:tc>
        <w:tc>
          <w:tcPr>
            <w:tcW w:w="2420" w:type="dxa"/>
            <w:tcBorders>
              <w:top w:val="single" w:sz="4" w:space="0" w:color="auto"/>
            </w:tcBorders>
            <w:vAlign w:val="bottom"/>
          </w:tcPr>
          <w:p w14:paraId="641B8A31" w14:textId="77777777" w:rsidR="00B73B87" w:rsidRPr="00F358FA" w:rsidRDefault="00B73B87" w:rsidP="00EE0D04">
            <w:pPr>
              <w:jc w:val="center"/>
              <w:rPr>
                <w:rFonts w:cs="Times New Roman"/>
                <w:szCs w:val="24"/>
              </w:rPr>
            </w:pPr>
            <w:r w:rsidRPr="00F358FA">
              <w:rPr>
                <w:rFonts w:cs="Times New Roman"/>
                <w:szCs w:val="24"/>
              </w:rPr>
              <w:t>205</w:t>
            </w:r>
          </w:p>
        </w:tc>
      </w:tr>
      <w:tr w:rsidR="00B73B87" w:rsidRPr="00F358FA" w14:paraId="73F2012B" w14:textId="77777777" w:rsidTr="000C7ECB">
        <w:trPr>
          <w:trHeight w:val="360"/>
          <w:jc w:val="center"/>
        </w:trPr>
        <w:tc>
          <w:tcPr>
            <w:tcW w:w="1980" w:type="dxa"/>
            <w:vAlign w:val="bottom"/>
          </w:tcPr>
          <w:p w14:paraId="5A615147" w14:textId="77777777" w:rsidR="00B73B87" w:rsidRPr="00F358FA" w:rsidRDefault="00C83F0C" w:rsidP="00EE0D04">
            <w:pPr>
              <w:rPr>
                <w:rFonts w:cs="Times New Roman"/>
                <w:szCs w:val="24"/>
              </w:rPr>
            </w:pPr>
            <m:oMath>
              <m:acc>
                <m:accPr>
                  <m:ctrlPr>
                    <w:rPr>
                      <w:rFonts w:ascii="Cambria Math" w:hAnsi="Cambria Math" w:cs="Times New Roman"/>
                      <w:szCs w:val="24"/>
                    </w:rPr>
                  </m:ctrlPr>
                </m:accPr>
                <m:e>
                  <m:r>
                    <m:rPr>
                      <m:sty m:val="p"/>
                    </m:rPr>
                    <w:rPr>
                      <w:rFonts w:ascii="Cambria Math" w:hAnsi="Cambria Math" w:cs="Times New Roman"/>
                      <w:szCs w:val="24"/>
                    </w:rPr>
                    <m:t>ϕ</m:t>
                  </m:r>
                </m:e>
              </m:acc>
            </m:oMath>
            <w:r w:rsidR="00B73B87" w:rsidRPr="00F358FA">
              <w:rPr>
                <w:rFonts w:eastAsiaTheme="minorEastAsia" w:cs="Times New Roman"/>
                <w:szCs w:val="24"/>
              </w:rPr>
              <w:t xml:space="preserve"> </w:t>
            </w:r>
          </w:p>
        </w:tc>
        <w:tc>
          <w:tcPr>
            <w:tcW w:w="2430" w:type="dxa"/>
            <w:vAlign w:val="bottom"/>
          </w:tcPr>
          <w:p w14:paraId="6277EAC8" w14:textId="4C5FF18B" w:rsidR="00B73B87" w:rsidRPr="00F358FA" w:rsidRDefault="00F30F5D" w:rsidP="00EE0D04">
            <w:pPr>
              <w:tabs>
                <w:tab w:val="decimal" w:pos="250"/>
              </w:tabs>
              <w:rPr>
                <w:rFonts w:cs="Times New Roman"/>
                <w:szCs w:val="24"/>
              </w:rPr>
            </w:pPr>
            <w:r>
              <w:rPr>
                <w:rFonts w:cs="Times New Roman"/>
                <w:szCs w:val="24"/>
              </w:rPr>
              <w:t xml:space="preserve">0.81 (0.79, </w:t>
            </w:r>
            <w:r w:rsidR="00B73B87" w:rsidRPr="00F358FA">
              <w:rPr>
                <w:rFonts w:cs="Times New Roman"/>
                <w:szCs w:val="24"/>
              </w:rPr>
              <w:t>0.83)</w:t>
            </w:r>
          </w:p>
        </w:tc>
        <w:tc>
          <w:tcPr>
            <w:tcW w:w="2520" w:type="dxa"/>
            <w:vAlign w:val="bottom"/>
          </w:tcPr>
          <w:p w14:paraId="2D76DA44" w14:textId="298507A0" w:rsidR="00B73B87" w:rsidRPr="00F358FA" w:rsidRDefault="00F30F5D" w:rsidP="00EE0D04">
            <w:pPr>
              <w:tabs>
                <w:tab w:val="decimal" w:pos="310"/>
              </w:tabs>
              <w:rPr>
                <w:rFonts w:cs="Times New Roman"/>
                <w:szCs w:val="24"/>
              </w:rPr>
            </w:pPr>
            <w:r>
              <w:rPr>
                <w:rFonts w:cs="Times New Roman"/>
                <w:szCs w:val="24"/>
              </w:rPr>
              <w:t xml:space="preserve">0.86 (0.84, </w:t>
            </w:r>
            <w:r w:rsidR="00B73B87" w:rsidRPr="00F358FA">
              <w:rPr>
                <w:rFonts w:cs="Times New Roman"/>
                <w:szCs w:val="24"/>
              </w:rPr>
              <w:t>0.88)</w:t>
            </w:r>
          </w:p>
        </w:tc>
        <w:tc>
          <w:tcPr>
            <w:tcW w:w="2420" w:type="dxa"/>
            <w:vAlign w:val="bottom"/>
          </w:tcPr>
          <w:p w14:paraId="43A033DA" w14:textId="254C7B72" w:rsidR="00B73B87" w:rsidRPr="00F358FA" w:rsidRDefault="00F30F5D" w:rsidP="00EE0D04">
            <w:pPr>
              <w:tabs>
                <w:tab w:val="decimal" w:pos="250"/>
              </w:tabs>
              <w:rPr>
                <w:rFonts w:cs="Times New Roman"/>
                <w:szCs w:val="24"/>
              </w:rPr>
            </w:pPr>
            <w:r>
              <w:rPr>
                <w:rFonts w:cs="Times New Roman"/>
                <w:szCs w:val="24"/>
              </w:rPr>
              <w:t>0.82 (0.80,</w:t>
            </w:r>
            <w:r w:rsidR="00B73B87" w:rsidRPr="00F358FA">
              <w:rPr>
                <w:rFonts w:cs="Times New Roman"/>
                <w:szCs w:val="24"/>
              </w:rPr>
              <w:t xml:space="preserve"> 0.85)</w:t>
            </w:r>
          </w:p>
        </w:tc>
      </w:tr>
      <w:tr w:rsidR="00B73B87" w:rsidRPr="00F358FA" w14:paraId="6DC6201A" w14:textId="77777777" w:rsidTr="000C7ECB">
        <w:trPr>
          <w:trHeight w:val="360"/>
          <w:jc w:val="center"/>
        </w:trPr>
        <w:tc>
          <w:tcPr>
            <w:tcW w:w="1980" w:type="dxa"/>
            <w:vAlign w:val="bottom"/>
          </w:tcPr>
          <w:p w14:paraId="2623B9B2" w14:textId="77777777" w:rsidR="00B73B87" w:rsidRPr="00F358FA" w:rsidRDefault="00B73B87" w:rsidP="00EE0D04">
            <w:pPr>
              <w:rPr>
                <w:rFonts w:cs="Times New Roman"/>
                <w:szCs w:val="24"/>
              </w:rPr>
            </w:pPr>
            <w:r w:rsidRPr="00F358FA">
              <w:rPr>
                <w:rFonts w:cs="Times New Roman"/>
                <w:szCs w:val="24"/>
              </w:rPr>
              <w:t>CV(</w:t>
            </w:r>
            <m:oMath>
              <m:acc>
                <m:accPr>
                  <m:ctrlPr>
                    <w:rPr>
                      <w:rFonts w:ascii="Cambria Math" w:hAnsi="Cambria Math" w:cs="Times New Roman"/>
                      <w:szCs w:val="24"/>
                    </w:rPr>
                  </m:ctrlPr>
                </m:accPr>
                <m:e>
                  <m:r>
                    <m:rPr>
                      <m:sty m:val="p"/>
                    </m:rPr>
                    <w:rPr>
                      <w:rFonts w:ascii="Cambria Math" w:hAnsi="Cambria Math" w:cs="Times New Roman"/>
                      <w:szCs w:val="24"/>
                    </w:rPr>
                    <m:t>ϕ</m:t>
                  </m:r>
                </m:e>
              </m:acc>
            </m:oMath>
            <w:r w:rsidRPr="00F358FA">
              <w:rPr>
                <w:rFonts w:eastAsiaTheme="minorEastAsia" w:cs="Times New Roman"/>
                <w:szCs w:val="24"/>
              </w:rPr>
              <w:t>)</w:t>
            </w:r>
          </w:p>
        </w:tc>
        <w:tc>
          <w:tcPr>
            <w:tcW w:w="2430" w:type="dxa"/>
            <w:vAlign w:val="bottom"/>
          </w:tcPr>
          <w:p w14:paraId="4397AADE" w14:textId="77777777" w:rsidR="00B73B87" w:rsidRPr="00F358FA" w:rsidRDefault="00B73B87" w:rsidP="00EE0D04">
            <w:pPr>
              <w:jc w:val="center"/>
              <w:rPr>
                <w:rFonts w:cs="Times New Roman"/>
                <w:szCs w:val="24"/>
              </w:rPr>
            </w:pPr>
            <w:r w:rsidRPr="00F358FA">
              <w:rPr>
                <w:rFonts w:cs="Times New Roman"/>
                <w:szCs w:val="24"/>
              </w:rPr>
              <w:t>1.4%</w:t>
            </w:r>
          </w:p>
        </w:tc>
        <w:tc>
          <w:tcPr>
            <w:tcW w:w="2520" w:type="dxa"/>
            <w:vAlign w:val="bottom"/>
          </w:tcPr>
          <w:p w14:paraId="2C82F23F" w14:textId="6C3D81A3" w:rsidR="00B73B87" w:rsidRPr="00F358FA" w:rsidRDefault="00CF1107" w:rsidP="00EE0D04">
            <w:pPr>
              <w:jc w:val="center"/>
              <w:rPr>
                <w:rFonts w:cs="Times New Roman"/>
                <w:szCs w:val="24"/>
              </w:rPr>
            </w:pPr>
            <w:r>
              <w:rPr>
                <w:rFonts w:cs="Times New Roman"/>
                <w:szCs w:val="24"/>
              </w:rPr>
              <w:t>1.2</w:t>
            </w:r>
            <w:r w:rsidR="00B73B87" w:rsidRPr="00F358FA">
              <w:rPr>
                <w:rFonts w:cs="Times New Roman"/>
                <w:szCs w:val="24"/>
              </w:rPr>
              <w:t>%</w:t>
            </w:r>
          </w:p>
        </w:tc>
        <w:tc>
          <w:tcPr>
            <w:tcW w:w="2420" w:type="dxa"/>
            <w:vAlign w:val="bottom"/>
          </w:tcPr>
          <w:p w14:paraId="36942E6F" w14:textId="77777777" w:rsidR="00B73B87" w:rsidRPr="00F358FA" w:rsidRDefault="00B73B87" w:rsidP="00EE0D04">
            <w:pPr>
              <w:jc w:val="center"/>
              <w:rPr>
                <w:rFonts w:cs="Times New Roman"/>
                <w:szCs w:val="24"/>
              </w:rPr>
            </w:pPr>
            <w:r w:rsidRPr="00F358FA">
              <w:rPr>
                <w:rFonts w:cs="Times New Roman"/>
                <w:szCs w:val="24"/>
              </w:rPr>
              <w:t>1.6%</w:t>
            </w:r>
          </w:p>
        </w:tc>
      </w:tr>
      <w:tr w:rsidR="00B73B87" w:rsidRPr="00F358FA" w14:paraId="284291A4" w14:textId="77777777" w:rsidTr="000C7ECB">
        <w:trPr>
          <w:trHeight w:val="360"/>
          <w:jc w:val="center"/>
        </w:trPr>
        <w:tc>
          <w:tcPr>
            <w:tcW w:w="1980" w:type="dxa"/>
            <w:vAlign w:val="bottom"/>
          </w:tcPr>
          <w:p w14:paraId="64CA8618" w14:textId="77777777" w:rsidR="00B73B87" w:rsidRPr="00F358FA" w:rsidRDefault="00B73B87" w:rsidP="00EE0D04">
            <w:pPr>
              <w:rPr>
                <w:rFonts w:cs="Times New Roman"/>
                <w:szCs w:val="24"/>
              </w:rPr>
            </w:pPr>
            <w:r w:rsidRPr="00F358FA">
              <w:rPr>
                <w:rFonts w:cs="Times New Roman"/>
                <w:szCs w:val="24"/>
              </w:rPr>
              <w:t>β.Water</w:t>
            </w:r>
          </w:p>
        </w:tc>
        <w:tc>
          <w:tcPr>
            <w:tcW w:w="2430" w:type="dxa"/>
            <w:vAlign w:val="bottom"/>
          </w:tcPr>
          <w:p w14:paraId="48874246" w14:textId="0DBB9B22" w:rsidR="00B73B87" w:rsidRPr="00F358FA" w:rsidRDefault="00B73B87" w:rsidP="00EE0D04">
            <w:pPr>
              <w:tabs>
                <w:tab w:val="decimal" w:pos="250"/>
              </w:tabs>
              <w:rPr>
                <w:rFonts w:cs="Times New Roman"/>
                <w:szCs w:val="24"/>
              </w:rPr>
            </w:pPr>
            <w:r w:rsidRPr="00F358FA">
              <w:rPr>
                <w:rFonts w:cs="Times New Roman"/>
                <w:szCs w:val="24"/>
              </w:rPr>
              <w:t>0.17 (–0.17</w:t>
            </w:r>
            <w:r w:rsidR="00F30F5D">
              <w:rPr>
                <w:rFonts w:cs="Times New Roman"/>
                <w:szCs w:val="24"/>
              </w:rPr>
              <w:t xml:space="preserve">, </w:t>
            </w:r>
            <w:r w:rsidRPr="00F358FA">
              <w:rPr>
                <w:rFonts w:cs="Times New Roman"/>
                <w:szCs w:val="24"/>
              </w:rPr>
              <w:t>0.51)</w:t>
            </w:r>
          </w:p>
        </w:tc>
        <w:tc>
          <w:tcPr>
            <w:tcW w:w="2520" w:type="dxa"/>
            <w:vAlign w:val="bottom"/>
          </w:tcPr>
          <w:p w14:paraId="0806656E" w14:textId="74E56CAD" w:rsidR="00B73B87" w:rsidRPr="00F358FA" w:rsidRDefault="00F30F5D" w:rsidP="00EE0D04">
            <w:pPr>
              <w:tabs>
                <w:tab w:val="decimal" w:pos="310"/>
              </w:tabs>
              <w:rPr>
                <w:rFonts w:cs="Times New Roman"/>
                <w:szCs w:val="24"/>
              </w:rPr>
            </w:pPr>
            <w:r>
              <w:rPr>
                <w:rFonts w:cs="Times New Roman"/>
                <w:szCs w:val="24"/>
              </w:rPr>
              <w:t>0.28 (</w:t>
            </w:r>
            <w:r w:rsidR="007421DA">
              <w:rPr>
                <w:rFonts w:cs="Times New Roman"/>
                <w:szCs w:val="24"/>
              </w:rPr>
              <w:t>–</w:t>
            </w:r>
            <w:bookmarkStart w:id="0" w:name="_GoBack"/>
            <w:bookmarkEnd w:id="0"/>
            <w:r>
              <w:rPr>
                <w:rFonts w:cs="Times New Roman"/>
                <w:szCs w:val="24"/>
              </w:rPr>
              <w:t xml:space="preserve">0.15, </w:t>
            </w:r>
            <w:r w:rsidR="00B73B87" w:rsidRPr="00F358FA">
              <w:rPr>
                <w:rFonts w:cs="Times New Roman"/>
                <w:szCs w:val="24"/>
              </w:rPr>
              <w:t>0.70)</w:t>
            </w:r>
          </w:p>
        </w:tc>
        <w:tc>
          <w:tcPr>
            <w:tcW w:w="2420" w:type="dxa"/>
            <w:vAlign w:val="bottom"/>
          </w:tcPr>
          <w:p w14:paraId="786DD2F2" w14:textId="628DE127" w:rsidR="00B73B87" w:rsidRPr="00F358FA" w:rsidRDefault="00F30F5D" w:rsidP="00EE0D04">
            <w:pPr>
              <w:tabs>
                <w:tab w:val="decimal" w:pos="250"/>
              </w:tabs>
              <w:rPr>
                <w:rFonts w:cs="Times New Roman"/>
                <w:szCs w:val="24"/>
              </w:rPr>
            </w:pPr>
            <w:r>
              <w:rPr>
                <w:rFonts w:cs="Times New Roman"/>
                <w:szCs w:val="24"/>
              </w:rPr>
              <w:t>0.19 (–0.25,</w:t>
            </w:r>
            <w:r w:rsidR="00B73B87" w:rsidRPr="00F358FA">
              <w:rPr>
                <w:rFonts w:cs="Times New Roman"/>
                <w:szCs w:val="24"/>
              </w:rPr>
              <w:t xml:space="preserve"> 0.63)</w:t>
            </w:r>
          </w:p>
        </w:tc>
      </w:tr>
      <w:tr w:rsidR="00B73B87" w:rsidRPr="00F358FA" w14:paraId="11C665FE" w14:textId="77777777" w:rsidTr="000C7ECB">
        <w:trPr>
          <w:trHeight w:val="360"/>
          <w:jc w:val="center"/>
        </w:trPr>
        <w:tc>
          <w:tcPr>
            <w:tcW w:w="1980" w:type="dxa"/>
            <w:vAlign w:val="bottom"/>
          </w:tcPr>
          <w:p w14:paraId="1CDA00A5" w14:textId="77777777" w:rsidR="00B73B87" w:rsidRPr="00F358FA" w:rsidRDefault="00B73B87" w:rsidP="00EE0D04">
            <w:pPr>
              <w:rPr>
                <w:rFonts w:cs="Times New Roman"/>
                <w:szCs w:val="24"/>
              </w:rPr>
            </w:pPr>
            <w:r w:rsidRPr="00F358FA">
              <w:rPr>
                <w:rFonts w:cs="Times New Roman"/>
                <w:szCs w:val="24"/>
              </w:rPr>
              <w:t>β.Water</w:t>
            </w:r>
            <w:r w:rsidRPr="00F358FA">
              <w:rPr>
                <w:rFonts w:cs="Times New Roman"/>
                <w:szCs w:val="24"/>
                <w:vertAlign w:val="superscript"/>
              </w:rPr>
              <w:t>2</w:t>
            </w:r>
          </w:p>
        </w:tc>
        <w:tc>
          <w:tcPr>
            <w:tcW w:w="2430" w:type="dxa"/>
            <w:vAlign w:val="bottom"/>
          </w:tcPr>
          <w:p w14:paraId="72577907" w14:textId="7F7C3090" w:rsidR="00B73B87" w:rsidRPr="00F358FA" w:rsidRDefault="00F30F5D" w:rsidP="00EE0D04">
            <w:pPr>
              <w:tabs>
                <w:tab w:val="decimal" w:pos="250"/>
              </w:tabs>
              <w:rPr>
                <w:rFonts w:cs="Times New Roman"/>
                <w:szCs w:val="24"/>
              </w:rPr>
            </w:pPr>
            <w:r>
              <w:rPr>
                <w:rFonts w:cs="Times New Roman"/>
                <w:szCs w:val="24"/>
              </w:rPr>
              <w:t>–0.31 (–0.53,</w:t>
            </w:r>
            <w:r w:rsidR="00B73B87" w:rsidRPr="00F358FA">
              <w:rPr>
                <w:rFonts w:cs="Times New Roman"/>
                <w:szCs w:val="24"/>
              </w:rPr>
              <w:t xml:space="preserve"> –0.10)</w:t>
            </w:r>
          </w:p>
        </w:tc>
        <w:tc>
          <w:tcPr>
            <w:tcW w:w="2520" w:type="dxa"/>
            <w:vAlign w:val="bottom"/>
          </w:tcPr>
          <w:p w14:paraId="20CAFF80" w14:textId="3D4BB16F" w:rsidR="00B73B87" w:rsidRPr="00F358FA" w:rsidRDefault="00F30F5D" w:rsidP="00EE0D04">
            <w:pPr>
              <w:tabs>
                <w:tab w:val="decimal" w:pos="310"/>
              </w:tabs>
              <w:rPr>
                <w:rFonts w:cs="Times New Roman"/>
                <w:szCs w:val="24"/>
              </w:rPr>
            </w:pPr>
            <w:r>
              <w:rPr>
                <w:rFonts w:cs="Times New Roman"/>
                <w:szCs w:val="24"/>
              </w:rPr>
              <w:t xml:space="preserve">–0.28 (–0.53, </w:t>
            </w:r>
            <w:r w:rsidR="00B73B87" w:rsidRPr="00F358FA">
              <w:rPr>
                <w:rFonts w:cs="Times New Roman"/>
                <w:szCs w:val="24"/>
              </w:rPr>
              <w:t>–0.03)</w:t>
            </w:r>
          </w:p>
        </w:tc>
        <w:tc>
          <w:tcPr>
            <w:tcW w:w="2420" w:type="dxa"/>
            <w:vAlign w:val="bottom"/>
          </w:tcPr>
          <w:p w14:paraId="26B89204" w14:textId="38661E85" w:rsidR="00B73B87" w:rsidRPr="00F358FA" w:rsidRDefault="00F30F5D" w:rsidP="00EE0D04">
            <w:pPr>
              <w:tabs>
                <w:tab w:val="decimal" w:pos="250"/>
              </w:tabs>
              <w:rPr>
                <w:rFonts w:cs="Times New Roman"/>
                <w:szCs w:val="24"/>
              </w:rPr>
            </w:pPr>
            <w:r>
              <w:rPr>
                <w:rFonts w:cs="Times New Roman"/>
                <w:szCs w:val="24"/>
              </w:rPr>
              <w:t>–0.36 (–0.63,</w:t>
            </w:r>
            <w:r w:rsidR="00B73B87" w:rsidRPr="00F358FA">
              <w:rPr>
                <w:rFonts w:cs="Times New Roman"/>
                <w:szCs w:val="24"/>
              </w:rPr>
              <w:t xml:space="preserve"> –0.10)</w:t>
            </w:r>
          </w:p>
        </w:tc>
      </w:tr>
      <w:tr w:rsidR="00B73B87" w:rsidRPr="00F358FA" w14:paraId="595237D5" w14:textId="77777777" w:rsidTr="000C7ECB">
        <w:trPr>
          <w:trHeight w:val="360"/>
          <w:jc w:val="center"/>
        </w:trPr>
        <w:tc>
          <w:tcPr>
            <w:tcW w:w="1980" w:type="dxa"/>
            <w:vAlign w:val="bottom"/>
          </w:tcPr>
          <w:p w14:paraId="03438024" w14:textId="77777777" w:rsidR="00B73B87" w:rsidRPr="00F358FA" w:rsidRDefault="00B73B87" w:rsidP="00EE0D04">
            <w:pPr>
              <w:rPr>
                <w:rFonts w:cs="Times New Roman"/>
                <w:szCs w:val="24"/>
              </w:rPr>
            </w:pPr>
            <w:r w:rsidRPr="00F358FA">
              <w:rPr>
                <w:rFonts w:cs="Times New Roman"/>
                <w:szCs w:val="24"/>
              </w:rPr>
              <w:t>β.Temperature</w:t>
            </w:r>
          </w:p>
        </w:tc>
        <w:tc>
          <w:tcPr>
            <w:tcW w:w="2430" w:type="dxa"/>
            <w:vAlign w:val="bottom"/>
          </w:tcPr>
          <w:p w14:paraId="4F97A7C4" w14:textId="515AF276" w:rsidR="00B73B87" w:rsidRPr="00F358FA" w:rsidRDefault="00F30F5D" w:rsidP="00EE0D04">
            <w:pPr>
              <w:tabs>
                <w:tab w:val="decimal" w:pos="250"/>
              </w:tabs>
              <w:rPr>
                <w:rFonts w:cs="Times New Roman"/>
                <w:szCs w:val="24"/>
              </w:rPr>
            </w:pPr>
            <w:r>
              <w:rPr>
                <w:rFonts w:cs="Times New Roman"/>
                <w:szCs w:val="24"/>
              </w:rPr>
              <w:t xml:space="preserve">0.33 (–0.05, </w:t>
            </w:r>
            <w:r w:rsidR="00B73B87" w:rsidRPr="00F358FA">
              <w:rPr>
                <w:rFonts w:cs="Times New Roman"/>
                <w:szCs w:val="24"/>
              </w:rPr>
              <w:t>0.70)</w:t>
            </w:r>
          </w:p>
        </w:tc>
        <w:tc>
          <w:tcPr>
            <w:tcW w:w="2520" w:type="dxa"/>
            <w:vAlign w:val="bottom"/>
          </w:tcPr>
          <w:p w14:paraId="080BD703" w14:textId="475646E1" w:rsidR="00B73B87" w:rsidRPr="00F358FA" w:rsidRDefault="00F30F5D" w:rsidP="00EE0D04">
            <w:pPr>
              <w:tabs>
                <w:tab w:val="decimal" w:pos="310"/>
              </w:tabs>
              <w:rPr>
                <w:rFonts w:cs="Times New Roman"/>
                <w:szCs w:val="24"/>
              </w:rPr>
            </w:pPr>
            <w:r>
              <w:rPr>
                <w:rFonts w:cs="Times New Roman"/>
                <w:szCs w:val="24"/>
              </w:rPr>
              <w:t xml:space="preserve">0.42 (–0.02, </w:t>
            </w:r>
            <w:r w:rsidR="00B73B87" w:rsidRPr="00F358FA">
              <w:rPr>
                <w:rFonts w:cs="Times New Roman"/>
                <w:szCs w:val="24"/>
              </w:rPr>
              <w:t>0.86)</w:t>
            </w:r>
          </w:p>
        </w:tc>
        <w:tc>
          <w:tcPr>
            <w:tcW w:w="2420" w:type="dxa"/>
            <w:vAlign w:val="bottom"/>
          </w:tcPr>
          <w:p w14:paraId="4944392C" w14:textId="737CBC47" w:rsidR="00B73B87" w:rsidRPr="00F358FA" w:rsidRDefault="00B73B87" w:rsidP="00EE0D04">
            <w:pPr>
              <w:tabs>
                <w:tab w:val="decimal" w:pos="250"/>
              </w:tabs>
              <w:rPr>
                <w:rFonts w:cs="Times New Roman"/>
                <w:szCs w:val="24"/>
              </w:rPr>
            </w:pPr>
            <w:r w:rsidRPr="00F358FA">
              <w:rPr>
                <w:rFonts w:cs="Times New Roman"/>
                <w:szCs w:val="24"/>
              </w:rPr>
              <w:t xml:space="preserve">0.58 </w:t>
            </w:r>
            <w:r w:rsidR="00F30F5D">
              <w:rPr>
                <w:rFonts w:cs="Times New Roman"/>
                <w:szCs w:val="24"/>
              </w:rPr>
              <w:t xml:space="preserve">(0.06, </w:t>
            </w:r>
            <w:r w:rsidRPr="00F358FA">
              <w:rPr>
                <w:rFonts w:cs="Times New Roman"/>
                <w:szCs w:val="24"/>
              </w:rPr>
              <w:t>1.11)</w:t>
            </w:r>
          </w:p>
        </w:tc>
      </w:tr>
      <w:tr w:rsidR="00B73B87" w:rsidRPr="00F358FA" w14:paraId="0C070DFB" w14:textId="77777777" w:rsidTr="000C7ECB">
        <w:trPr>
          <w:trHeight w:val="360"/>
          <w:jc w:val="center"/>
        </w:trPr>
        <w:tc>
          <w:tcPr>
            <w:tcW w:w="1980" w:type="dxa"/>
            <w:vAlign w:val="bottom"/>
          </w:tcPr>
          <w:p w14:paraId="4234C0F8" w14:textId="77777777" w:rsidR="00B73B87" w:rsidRPr="00F358FA" w:rsidRDefault="00B73B87" w:rsidP="00EE0D04">
            <w:pPr>
              <w:rPr>
                <w:rFonts w:cs="Times New Roman"/>
                <w:szCs w:val="24"/>
              </w:rPr>
            </w:pPr>
            <w:r w:rsidRPr="00F358FA">
              <w:rPr>
                <w:rFonts w:cs="Times New Roman"/>
                <w:szCs w:val="24"/>
              </w:rPr>
              <w:t>β.Dew point</w:t>
            </w:r>
          </w:p>
        </w:tc>
        <w:tc>
          <w:tcPr>
            <w:tcW w:w="2430" w:type="dxa"/>
            <w:vAlign w:val="bottom"/>
          </w:tcPr>
          <w:p w14:paraId="7CDBB4B8" w14:textId="4EFC63E6" w:rsidR="00B73B87" w:rsidRPr="00F358FA" w:rsidRDefault="00F30F5D" w:rsidP="00EE0D04">
            <w:pPr>
              <w:tabs>
                <w:tab w:val="decimal" w:pos="250"/>
              </w:tabs>
              <w:rPr>
                <w:rFonts w:cs="Times New Roman"/>
                <w:szCs w:val="24"/>
              </w:rPr>
            </w:pPr>
            <w:r>
              <w:rPr>
                <w:rFonts w:cs="Times New Roman"/>
                <w:szCs w:val="24"/>
              </w:rPr>
              <w:t xml:space="preserve">–0.38 (–0.78, </w:t>
            </w:r>
            <w:r w:rsidR="00B73B87" w:rsidRPr="00F358FA">
              <w:rPr>
                <w:rFonts w:cs="Times New Roman"/>
                <w:szCs w:val="24"/>
              </w:rPr>
              <w:t>0.01)</w:t>
            </w:r>
          </w:p>
        </w:tc>
        <w:tc>
          <w:tcPr>
            <w:tcW w:w="2520" w:type="dxa"/>
            <w:vAlign w:val="bottom"/>
          </w:tcPr>
          <w:p w14:paraId="13B0F3C1" w14:textId="39AA1A4D" w:rsidR="00B73B87" w:rsidRPr="00F358FA" w:rsidRDefault="00F30F5D" w:rsidP="00EE0D04">
            <w:pPr>
              <w:tabs>
                <w:tab w:val="decimal" w:pos="310"/>
              </w:tabs>
              <w:rPr>
                <w:rFonts w:cs="Times New Roman"/>
                <w:szCs w:val="24"/>
              </w:rPr>
            </w:pPr>
            <w:r>
              <w:rPr>
                <w:rFonts w:cs="Times New Roman"/>
                <w:szCs w:val="24"/>
              </w:rPr>
              <w:t xml:space="preserve">–0.49 (–0.95, </w:t>
            </w:r>
            <w:r w:rsidR="00B73B87" w:rsidRPr="00F358FA">
              <w:rPr>
                <w:rFonts w:cs="Times New Roman"/>
                <w:szCs w:val="24"/>
              </w:rPr>
              <w:t>–0.03)</w:t>
            </w:r>
          </w:p>
        </w:tc>
        <w:tc>
          <w:tcPr>
            <w:tcW w:w="2420" w:type="dxa"/>
            <w:vAlign w:val="bottom"/>
          </w:tcPr>
          <w:p w14:paraId="0683DECD" w14:textId="4EA60AC5" w:rsidR="00B73B87" w:rsidRPr="00F358FA" w:rsidRDefault="00F30F5D" w:rsidP="00EE0D04">
            <w:pPr>
              <w:tabs>
                <w:tab w:val="decimal" w:pos="250"/>
              </w:tabs>
              <w:rPr>
                <w:rFonts w:cs="Times New Roman"/>
                <w:szCs w:val="24"/>
              </w:rPr>
            </w:pPr>
            <w:r>
              <w:rPr>
                <w:rFonts w:cs="Times New Roman"/>
                <w:szCs w:val="24"/>
              </w:rPr>
              <w:t>–0.69 (–1.24,</w:t>
            </w:r>
            <w:r w:rsidR="00B73B87" w:rsidRPr="00F358FA">
              <w:rPr>
                <w:rFonts w:cs="Times New Roman"/>
                <w:szCs w:val="24"/>
              </w:rPr>
              <w:t xml:space="preserve"> –0.14)</w:t>
            </w:r>
          </w:p>
        </w:tc>
      </w:tr>
      <w:tr w:rsidR="00B73B87" w:rsidRPr="00F358FA" w14:paraId="1A142CEE" w14:textId="77777777" w:rsidTr="000C7ECB">
        <w:trPr>
          <w:trHeight w:val="360"/>
          <w:jc w:val="center"/>
        </w:trPr>
        <w:tc>
          <w:tcPr>
            <w:tcW w:w="1980" w:type="dxa"/>
            <w:tcBorders>
              <w:bottom w:val="single" w:sz="4" w:space="0" w:color="auto"/>
            </w:tcBorders>
            <w:vAlign w:val="bottom"/>
          </w:tcPr>
          <w:p w14:paraId="05B00FCF" w14:textId="77777777" w:rsidR="00B73B87" w:rsidRPr="00F358FA" w:rsidRDefault="00B73B87" w:rsidP="00EE0D04">
            <w:pPr>
              <w:rPr>
                <w:rFonts w:cs="Times New Roman"/>
                <w:szCs w:val="24"/>
              </w:rPr>
            </w:pPr>
            <w:r w:rsidRPr="00F358FA">
              <w:rPr>
                <w:rFonts w:cs="Times New Roman"/>
                <w:szCs w:val="24"/>
              </w:rPr>
              <w:t>β.Groundcover</w:t>
            </w:r>
          </w:p>
        </w:tc>
        <w:tc>
          <w:tcPr>
            <w:tcW w:w="2430" w:type="dxa"/>
            <w:tcBorders>
              <w:bottom w:val="single" w:sz="4" w:space="0" w:color="auto"/>
            </w:tcBorders>
            <w:vAlign w:val="bottom"/>
          </w:tcPr>
          <w:p w14:paraId="4E5B1F76" w14:textId="1B9B0448" w:rsidR="00B73B87" w:rsidRPr="00F358FA" w:rsidRDefault="00F30F5D" w:rsidP="00EE0D04">
            <w:pPr>
              <w:tabs>
                <w:tab w:val="decimal" w:pos="250"/>
              </w:tabs>
              <w:rPr>
                <w:rFonts w:cs="Times New Roman"/>
                <w:szCs w:val="24"/>
              </w:rPr>
            </w:pPr>
            <w:r>
              <w:rPr>
                <w:rFonts w:cs="Times New Roman"/>
                <w:szCs w:val="24"/>
              </w:rPr>
              <w:t xml:space="preserve">0.01 (–0.13, </w:t>
            </w:r>
            <w:r w:rsidR="00B73B87" w:rsidRPr="00F358FA">
              <w:rPr>
                <w:rFonts w:cs="Times New Roman"/>
                <w:szCs w:val="24"/>
              </w:rPr>
              <w:t>0.15)</w:t>
            </w:r>
          </w:p>
        </w:tc>
        <w:tc>
          <w:tcPr>
            <w:tcW w:w="2520" w:type="dxa"/>
            <w:tcBorders>
              <w:bottom w:val="single" w:sz="4" w:space="0" w:color="auto"/>
            </w:tcBorders>
            <w:vAlign w:val="bottom"/>
          </w:tcPr>
          <w:p w14:paraId="18D2D29A" w14:textId="72342EFC" w:rsidR="00B73B87" w:rsidRPr="00F358FA" w:rsidRDefault="00F30F5D" w:rsidP="00EE0D04">
            <w:pPr>
              <w:tabs>
                <w:tab w:val="decimal" w:pos="310"/>
              </w:tabs>
              <w:rPr>
                <w:rFonts w:cs="Times New Roman"/>
                <w:szCs w:val="24"/>
              </w:rPr>
            </w:pPr>
            <w:r>
              <w:rPr>
                <w:rFonts w:cs="Times New Roman"/>
                <w:szCs w:val="24"/>
              </w:rPr>
              <w:t xml:space="preserve">0.09 (–0.07, </w:t>
            </w:r>
            <w:r w:rsidR="00B73B87" w:rsidRPr="00F358FA">
              <w:rPr>
                <w:rFonts w:cs="Times New Roman"/>
                <w:szCs w:val="24"/>
              </w:rPr>
              <w:t>0.26)</w:t>
            </w:r>
          </w:p>
        </w:tc>
        <w:tc>
          <w:tcPr>
            <w:tcW w:w="2420" w:type="dxa"/>
            <w:tcBorders>
              <w:bottom w:val="single" w:sz="4" w:space="0" w:color="auto"/>
            </w:tcBorders>
            <w:vAlign w:val="bottom"/>
          </w:tcPr>
          <w:p w14:paraId="6AE62487" w14:textId="4450ADAE" w:rsidR="00B73B87" w:rsidRPr="00F358FA" w:rsidRDefault="00F30F5D" w:rsidP="00EE0D04">
            <w:pPr>
              <w:tabs>
                <w:tab w:val="decimal" w:pos="250"/>
              </w:tabs>
              <w:rPr>
                <w:rFonts w:cs="Times New Roman"/>
                <w:szCs w:val="24"/>
              </w:rPr>
            </w:pPr>
            <w:r>
              <w:rPr>
                <w:rFonts w:cs="Times New Roman"/>
                <w:szCs w:val="24"/>
              </w:rPr>
              <w:t>–0.05 (–0.23,</w:t>
            </w:r>
            <w:r w:rsidR="00B73B87" w:rsidRPr="00F358FA">
              <w:rPr>
                <w:rFonts w:cs="Times New Roman"/>
                <w:szCs w:val="24"/>
              </w:rPr>
              <w:t xml:space="preserve"> 0.13)</w:t>
            </w:r>
          </w:p>
        </w:tc>
      </w:tr>
    </w:tbl>
    <w:p w14:paraId="1C8D9951" w14:textId="77777777" w:rsidR="00773EA8" w:rsidRPr="00BC5722" w:rsidRDefault="00773EA8" w:rsidP="00B73B87">
      <w:pPr>
        <w:widowControl w:val="0"/>
        <w:autoSpaceDE w:val="0"/>
        <w:autoSpaceDN w:val="0"/>
        <w:adjustRightInd w:val="0"/>
        <w:spacing w:after="120"/>
        <w:rPr>
          <w:rFonts w:cs="Times New Roman"/>
          <w:noProof/>
          <w:szCs w:val="24"/>
        </w:rPr>
      </w:pPr>
    </w:p>
    <w:p w14:paraId="71E88945" w14:textId="77777777" w:rsidR="009B028F" w:rsidRDefault="009B028F"/>
    <w:sectPr w:rsidR="009B028F" w:rsidSect="00B73B8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01C91" w14:textId="77777777" w:rsidR="00C83F0C" w:rsidRDefault="00C83F0C" w:rsidP="00B73B87">
      <w:r>
        <w:separator/>
      </w:r>
    </w:p>
  </w:endnote>
  <w:endnote w:type="continuationSeparator" w:id="0">
    <w:p w14:paraId="675924CD" w14:textId="77777777" w:rsidR="00C83F0C" w:rsidRDefault="00C83F0C" w:rsidP="00B73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4F26C" w14:textId="77777777" w:rsidR="00C83F0C" w:rsidRDefault="00C83F0C" w:rsidP="00B73B87">
      <w:r>
        <w:separator/>
      </w:r>
    </w:p>
  </w:footnote>
  <w:footnote w:type="continuationSeparator" w:id="0">
    <w:p w14:paraId="1B0AB49C" w14:textId="77777777" w:rsidR="00C83F0C" w:rsidRDefault="00C83F0C" w:rsidP="00B73B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84B06" w14:textId="52A464B9" w:rsidR="00B73B87" w:rsidRDefault="00B73B87">
    <w:pPr>
      <w:pStyle w:val="Header"/>
      <w:jc w:val="right"/>
    </w:pPr>
    <w:r>
      <w:t>Appendix</w:t>
    </w:r>
    <w:r w:rsidR="00723E90">
      <w:t xml:space="preserve"> S1</w:t>
    </w:r>
    <w:r>
      <w:t xml:space="preserve"> | </w:t>
    </w:r>
    <w:sdt>
      <w:sdtPr>
        <w:id w:val="-21214455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30F5D">
          <w:rPr>
            <w:noProof/>
          </w:rPr>
          <w:t>4</w:t>
        </w:r>
        <w:r>
          <w:rPr>
            <w:noProof/>
          </w:rPr>
          <w:fldChar w:fldCharType="end"/>
        </w:r>
      </w:sdtContent>
    </w:sdt>
  </w:p>
  <w:p w14:paraId="79A582CA" w14:textId="77777777" w:rsidR="00B73B87" w:rsidRDefault="00B73B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EA8"/>
    <w:rsid w:val="00050B15"/>
    <w:rsid w:val="000B7A56"/>
    <w:rsid w:val="000C7ECB"/>
    <w:rsid w:val="0012299E"/>
    <w:rsid w:val="00151ABA"/>
    <w:rsid w:val="00162B6E"/>
    <w:rsid w:val="001C5143"/>
    <w:rsid w:val="00226888"/>
    <w:rsid w:val="00447AC0"/>
    <w:rsid w:val="00472B78"/>
    <w:rsid w:val="004A2AF2"/>
    <w:rsid w:val="005310A7"/>
    <w:rsid w:val="00605E57"/>
    <w:rsid w:val="00723E90"/>
    <w:rsid w:val="007421DA"/>
    <w:rsid w:val="007526CB"/>
    <w:rsid w:val="00773EA8"/>
    <w:rsid w:val="007B1158"/>
    <w:rsid w:val="007B1483"/>
    <w:rsid w:val="007C0334"/>
    <w:rsid w:val="00883BF7"/>
    <w:rsid w:val="009B028F"/>
    <w:rsid w:val="00A35B83"/>
    <w:rsid w:val="00A97D32"/>
    <w:rsid w:val="00AD3818"/>
    <w:rsid w:val="00B73B87"/>
    <w:rsid w:val="00C03601"/>
    <w:rsid w:val="00C61869"/>
    <w:rsid w:val="00C83F0C"/>
    <w:rsid w:val="00CF1107"/>
    <w:rsid w:val="00CF2811"/>
    <w:rsid w:val="00D63E8A"/>
    <w:rsid w:val="00E829F3"/>
    <w:rsid w:val="00F30F5D"/>
    <w:rsid w:val="00F4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5DF3"/>
  <w15:chartTrackingRefBased/>
  <w15:docId w15:val="{269EFBB8-FEF8-4D74-ADDE-372CF500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EA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urier"/>
    <w:uiPriority w:val="1"/>
    <w:qFormat/>
    <w:rsid w:val="005310A7"/>
    <w:rPr>
      <w:rFonts w:ascii="Courier New" w:hAnsi="Courier New"/>
      <w:sz w:val="20"/>
    </w:rPr>
  </w:style>
  <w:style w:type="character" w:styleId="CommentReference">
    <w:name w:val="annotation reference"/>
    <w:basedOn w:val="DefaultParagraphFont"/>
    <w:uiPriority w:val="99"/>
    <w:semiHidden/>
    <w:unhideWhenUsed/>
    <w:rsid w:val="00773EA8"/>
    <w:rPr>
      <w:sz w:val="16"/>
      <w:szCs w:val="16"/>
    </w:rPr>
  </w:style>
  <w:style w:type="paragraph" w:styleId="CommentText">
    <w:name w:val="annotation text"/>
    <w:basedOn w:val="Normal"/>
    <w:link w:val="CommentTextChar"/>
    <w:uiPriority w:val="99"/>
    <w:unhideWhenUsed/>
    <w:rsid w:val="00773EA8"/>
    <w:rPr>
      <w:sz w:val="20"/>
      <w:szCs w:val="20"/>
    </w:rPr>
  </w:style>
  <w:style w:type="character" w:customStyle="1" w:styleId="CommentTextChar">
    <w:name w:val="Comment Text Char"/>
    <w:basedOn w:val="DefaultParagraphFont"/>
    <w:link w:val="CommentText"/>
    <w:uiPriority w:val="99"/>
    <w:rsid w:val="00773EA8"/>
    <w:rPr>
      <w:rFonts w:ascii="Times New Roman" w:hAnsi="Times New Roman"/>
      <w:sz w:val="20"/>
      <w:szCs w:val="20"/>
    </w:rPr>
  </w:style>
  <w:style w:type="paragraph" w:styleId="BalloonText">
    <w:name w:val="Balloon Text"/>
    <w:basedOn w:val="Normal"/>
    <w:link w:val="BalloonTextChar"/>
    <w:uiPriority w:val="99"/>
    <w:semiHidden/>
    <w:unhideWhenUsed/>
    <w:rsid w:val="00773E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EA8"/>
    <w:rPr>
      <w:rFonts w:ascii="Segoe UI" w:hAnsi="Segoe UI" w:cs="Segoe UI"/>
      <w:sz w:val="18"/>
      <w:szCs w:val="18"/>
    </w:rPr>
  </w:style>
  <w:style w:type="table" w:styleId="TableGrid">
    <w:name w:val="Table Grid"/>
    <w:basedOn w:val="TableNormal"/>
    <w:uiPriority w:val="39"/>
    <w:rsid w:val="00B73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B87"/>
    <w:pPr>
      <w:tabs>
        <w:tab w:val="center" w:pos="4680"/>
        <w:tab w:val="right" w:pos="9360"/>
      </w:tabs>
    </w:pPr>
  </w:style>
  <w:style w:type="character" w:customStyle="1" w:styleId="HeaderChar">
    <w:name w:val="Header Char"/>
    <w:basedOn w:val="DefaultParagraphFont"/>
    <w:link w:val="Header"/>
    <w:uiPriority w:val="99"/>
    <w:rsid w:val="00B73B87"/>
    <w:rPr>
      <w:rFonts w:ascii="Times New Roman" w:hAnsi="Times New Roman"/>
      <w:sz w:val="24"/>
    </w:rPr>
  </w:style>
  <w:style w:type="paragraph" w:styleId="Footer">
    <w:name w:val="footer"/>
    <w:basedOn w:val="Normal"/>
    <w:link w:val="FooterChar"/>
    <w:uiPriority w:val="99"/>
    <w:unhideWhenUsed/>
    <w:rsid w:val="00B73B87"/>
    <w:pPr>
      <w:tabs>
        <w:tab w:val="center" w:pos="4680"/>
        <w:tab w:val="right" w:pos="9360"/>
      </w:tabs>
    </w:pPr>
  </w:style>
  <w:style w:type="character" w:customStyle="1" w:styleId="FooterChar">
    <w:name w:val="Footer Char"/>
    <w:basedOn w:val="DefaultParagraphFont"/>
    <w:link w:val="Footer"/>
    <w:uiPriority w:val="99"/>
    <w:rsid w:val="00B73B87"/>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0B7A56"/>
    <w:rPr>
      <w:b/>
      <w:bCs/>
    </w:rPr>
  </w:style>
  <w:style w:type="character" w:customStyle="1" w:styleId="CommentSubjectChar">
    <w:name w:val="Comment Subject Char"/>
    <w:basedOn w:val="CommentTextChar"/>
    <w:link w:val="CommentSubject"/>
    <w:uiPriority w:val="99"/>
    <w:semiHidden/>
    <w:rsid w:val="000B7A56"/>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1CE49-05D5-4B77-9E64-51414C7D0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6491</Words>
  <Characters>37003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Zylstra, Erin</cp:lastModifiedBy>
  <cp:revision>8</cp:revision>
  <dcterms:created xsi:type="dcterms:W3CDTF">2018-06-03T23:21:00Z</dcterms:created>
  <dcterms:modified xsi:type="dcterms:W3CDTF">2018-09-17T19:49:00Z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http://csl.mendeley.com/styles/220028551/apa-Erin</vt:lpwstr>
  </property>
  <property fmtid="{D5CDD505-2E9C-101B-9397-08002B2CF9AE}" pid="7" name="Mendeley Recent Style Name 2_1">
    <vt:lpwstr>American Psychological Association 6th edition - Erin Zylstra</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http://www.zotero.org/styles/ecological-applications</vt:lpwstr>
  </property>
  <property fmtid="{D5CDD505-2E9C-101B-9397-08002B2CF9AE}" pid="13" name="Mendeley Recent Style Name 5_1">
    <vt:lpwstr>Ecological Applications</vt:lpwstr>
  </property>
  <property fmtid="{D5CDD505-2E9C-101B-9397-08002B2CF9AE}" pid="14" name="Mendeley Recent Style Id 6_1">
    <vt:lpwstr>http://csl.mendeley.com/styles/220028551/ecology</vt:lpwstr>
  </property>
  <property fmtid="{D5CDD505-2E9C-101B-9397-08002B2CF9AE}" pid="15" name="Mendeley Recent Style Name 6_1">
    <vt:lpwstr>Ecology - Erin Zylstra</vt:lpwstr>
  </property>
  <property fmtid="{D5CDD505-2E9C-101B-9397-08002B2CF9AE}" pid="16" name="Mendeley Recent Style Id 7_1">
    <vt:lpwstr>http://www.zotero.org/styles/freshwater-biology</vt:lpwstr>
  </property>
  <property fmtid="{D5CDD505-2E9C-101B-9397-08002B2CF9AE}" pid="17" name="Mendeley Recent Style Name 7_1">
    <vt:lpwstr>Freshwater Biology</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(deprecated)</vt:lpwstr>
  </property>
  <property fmtid="{D5CDD505-2E9C-101B-9397-08002B2CF9AE}" pid="20" name="Mendeley Document_1">
    <vt:lpwstr>True</vt:lpwstr>
  </property>
  <property fmtid="{D5CDD505-2E9C-101B-9397-08002B2CF9AE}" pid="21" name="Mendeley Unique User Id_1">
    <vt:lpwstr>2af45b6f-38ff-3199-a9c1-6f138ed38fea</vt:lpwstr>
  </property>
  <property fmtid="{D5CDD505-2E9C-101B-9397-08002B2CF9AE}" pid="22" name="Mendeley Citation Style_1">
    <vt:lpwstr>http://csl.mendeley.com/styles/220028551/apa-Erin</vt:lpwstr>
  </property>
  <property fmtid="{D5CDD505-2E9C-101B-9397-08002B2CF9AE}" pid="23" name="Mendeley Recent Style Id 9_1">
    <vt:lpwstr>http://www.zotero.org/styles/journal-of-applied-ecology</vt:lpwstr>
  </property>
  <property fmtid="{D5CDD505-2E9C-101B-9397-08002B2CF9AE}" pid="24" name="Mendeley Recent Style Name 9_1">
    <vt:lpwstr>Journal of Applied Ecology</vt:lpwstr>
  </property>
</Properties>
</file>