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Arial" w:cs="Arial" w:eastAsia="Arial" w:hAnsi="Arial"/>
          <w:b/>
          <w:bCs/>
          <w:color w:val="0B1222"/>
          <w:sz w:val="44"/>
          <w:szCs w:val="44"/>
        </w:rPr>
        <w:t xml:space="preserve">ENTRESTATE</w:t>
      </w:r>
    </w:p>
    <w:p>
      <w:pPr>
        <w:spacing w:after="200"/>
      </w:pPr>
      <w:r>
        <w:rPr>
          <w:rFonts w:ascii="Arial" w:cs="Arial" w:eastAsia="Arial" w:hAnsi="Arial"/>
          <w:b/>
          <w:bCs/>
          <w:color w:val="1A6B3C"/>
          <w:sz w:val="36"/>
          <w:szCs w:val="36"/>
        </w:rPr>
        <w:t xml:space="preserve">Data Agent Task List</w:t>
      </w:r>
    </w:p>
    <w:p>
      <w:pPr>
        <w:spacing w:after="40"/>
      </w:pPr>
      <w:r>
        <w:rPr>
          <w:rFonts w:ascii="Arial" w:cs="Arial" w:eastAsia="Arial" w:hAnsi="Arial"/>
          <w:color w:val="606B7A"/>
          <w:sz w:val="22"/>
          <w:szCs w:val="22"/>
        </w:rPr>
        <w:t xml:space="preserve">Complete execution checklist: data foundation through production hardening.</w:t>
      </w:r>
    </w:p>
    <w:p>
      <w:pPr>
        <w:spacing w:after="40"/>
      </w:pPr>
      <w:r>
        <w:rPr>
          <w:rFonts w:ascii="Arial" w:cs="Arial" w:eastAsia="Arial" w:hAnsi="Arial"/>
          <w:color w:val="8E95A2"/>
          <w:sz w:val="18"/>
          <w:szCs w:val="18"/>
        </w:rPr>
        <w:t xml:space="preserve">March 2026  ·  Confidential  ·  68 Tasks  ·  8 Phases</w:t>
      </w:r>
    </w:p>
    <w:p>
      <w:pPr>
        <w:pBdr>
          <w:bottom w:val="single" w:color="0B1222" w:sz="6" w:space="8"/>
        </w:pBdr>
        <w:spacing w:after="200"/>
      </w:pPr>
    </w:p>
    <w:p>
      <w:pPr>
        <w:pStyle w:val="Heading1"/>
        <w:spacing w:before="400" w:after="200"/>
      </w:pPr>
      <w:r>
        <w:rPr>
          <w:rFonts w:ascii="Arial" w:cs="Arial" w:eastAsia="Arial" w:hAnsi="Arial"/>
          <w:b/>
          <w:bCs/>
          <w:color w:val="0B1222"/>
          <w:sz w:val="28"/>
          <w:szCs w:val="28"/>
        </w:rPr>
        <w:t xml:space="preserve">1. DATA INTEGRITY EMERGENCY — Fix What's Broken</w:t>
      </w:r>
    </w:p>
    <w:p>
      <w:pPr>
        <w:spacing w:after="120"/>
      </w:pPr>
      <w:r>
        <w:rPr>
          <w:rFonts w:ascii="Arial" w:cs="Arial" w:eastAsia="Arial" w:hAnsi="Arial"/>
          <w:color w:val="2E3440"/>
          <w:sz w:val="20"/>
          <w:szCs w:val="20"/>
        </w:rPr>
        <w:t xml:space="preserve">These are the non-negotiable fixes. The platform cannot launch with broken data. Every task here blocks everything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Reconcile 7,015 → 2,813 Drop-Off</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Audit inventory_full (7,015 rows) vs live frontend query. Identify every exclusion rule, filter, and WHERE clause that reduces to 2,813. Document which 4,202 projects are excluded and why. Either restore valid projects or document the exclusion policy.</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1.2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DLD Canonical Area Mapping</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Build canonical area_id mapping table. Merge all variants: 'Business Bay' / 'BUSINESS BAY' / 'business bay'. Map all 190 areas to DLD canonical names. Run UPDATE inventory_clean SET area = canonical_area FROM area_mapping. Verify 0 duplicates remain.</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Statistical Outlier Purge</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Run automated outlier detection on all area averages. Flag projects where price_from &gt; 10× area median (e.g., Al Warsan AED 37.6M). Either correct the data or flag as ghost_portfolio. Validate all area-level aggregates post-fix.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1.2</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1.4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price_aed DOUBLE PRECISION Audit</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Verify all financial columns are DOUBLE PRECISION in Prisma schema: price_from_aed, price_to_aed, price_per_sqft, yield_gross_pct, yield_net_pct. Run: SELECT column_name, data_type FROM information_schema.columns WHERE table_name='inventory_clean'. Fix any text-cast columns.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Fix '0% HIGH Confidence' Display</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Audit confidence scoring engine. Seed with verified DLD transaction data. Either fix the calculation so it produces valid percentages, or hide the confidence display from /overview until fixed. Current state is a Tier 1 Trust Failure.</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1.3</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1.6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Remove SOC 2 Badge</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Remove all SOC 2 compliance claims from UI, /about, footer, and any marketing materials. Legal liability until actual certification. Replace with 'Data Methodology' link to /docs/data-information.</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Source Identification Verification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For every row in inventory_clean, verify mapping to at least 1 of 5 primary sources: Sanity, DLD, Bayut, Property Finder, FAM. Run: SELECT COUNT(*) FROM inventory_clean WHERE price_source IS NULL. Target: 0 orphan rows.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1.1</w:t>
            </w:r>
          </w:p>
        </w:tc>
      </w:tr>
    </w:tbl>
    <w:p>
      <w:r>
        <w:br w:type="page"/>
      </w:r>
    </w:p>
    <w:p>
      <w:pPr>
        <w:pStyle w:val="Heading1"/>
        <w:spacing w:before="400" w:after="200"/>
      </w:pPr>
      <w:r>
        <w:rPr>
          <w:rFonts w:ascii="Arial" w:cs="Arial" w:eastAsia="Arial" w:hAnsi="Arial"/>
          <w:b/>
          <w:bCs/>
          <w:color w:val="0B1222"/>
          <w:sz w:val="28"/>
          <w:szCs w:val="28"/>
        </w:rPr>
        <w:t xml:space="preserve">2. SINGLE SPINE FINALIZATION — One Truth, All Derivatives</w:t>
      </w:r>
    </w:p>
    <w:p>
      <w:pPr>
        <w:spacing w:after="120"/>
      </w:pPr>
      <w:r>
        <w:rPr>
          <w:rFonts w:ascii="Arial" w:cs="Arial" w:eastAsia="Arial" w:hAnsi="Arial"/>
          <w:color w:val="2E3440"/>
          <w:sz w:val="20"/>
          <w:szCs w:val="20"/>
        </w:rPr>
        <w:t xml:space="preserve">Lock the inventory_full table as the single source of truth. No exceptions. All derivatives trace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Developer Name Canonicalization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Run full developer normalization pipeline. Strip noise patterns: 'by', 'from', 'Properties', 'Real Estate', 'Group', 'Holdings', 'LLC', 'Ltd'. Merge fuzzy matches (Levenshtein ≤ 2). Create developer_registry table with canonical_name, aliases[], project_count. Target: 74 canonical developers.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Location Normalization</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Normalize city names via mapping table (dubai→Dubai, rak→Ras Al Khaimah). Normalize area names: strip parentheticals, standardize case. Infer city from area when missing. Target: 100% city coverage, 95%+ area coverage.</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1.2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Price Finalization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Clean all prices: reject &lt; AED 10,000 (noise), reject &gt; AED 1B (error). Set final_price_from, final_price_to. Derive price_per_sqft where missing. Convert to price_per_sqm (×10.764). Log price range: min/max/median. All fields as DOUBLE PRECISION.</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1.4</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Date Finalization</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Parse all date formats to extract launch_year and handover_year. Handle: ISO dates, 'Q1 2025', '2025', 'Ready', 'TBA'. Derive handover_status bucket. Target: 80%+ launch_year, 90%+ handover_year coverage.</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Lifecycle State Derivation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Derive lifecycle_state from handover data: Off-Plan / Under Construction / Ready / Completed. Cross-validate with DLD transaction dates. Flag contradictions (e.g., 'Ready' project with zero DLD sales).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2.4</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Column Completeness Audit</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Run the DATA GAPS AUDIT script against inventory_clean. For all 155 columns: count filled vs NULL, calculate %. Flag any column below 70% coverage. Produce DATA_COMPLETENESS_REPORT.md with field-by-field status.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2.1-2.5</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Gap-Fill Pipeline</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Execute systematic gap-fills: price_to = price_from where NULL. golden_visa = (price_from &gt;= 2000000). rental_yield = area median where NULL. bedrooms = price-based inference. hero_image = placeholder where NULL. completion_date = 'TBA' where NULL.</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2.6</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2.8</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Kill Product Exclusions</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Verify no remnant 'exclude lelwa/mashroi' filters exist in any pipeline, view, or API query. Run: grep -r 'lelwa\|mashroi\|exclude' across codebase. Target: unified database with 0 exclusion clauses.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None</w:t>
            </w:r>
          </w:p>
        </w:tc>
      </w:tr>
    </w:tbl>
    <w:p>
      <w:r>
        <w:br w:type="page"/>
      </w:r>
    </w:p>
    <w:p>
      <w:pPr>
        <w:pStyle w:val="Heading1"/>
        <w:spacing w:before="400" w:after="200"/>
      </w:pPr>
      <w:r>
        <w:rPr>
          <w:rFonts w:ascii="Arial" w:cs="Arial" w:eastAsia="Arial" w:hAnsi="Arial"/>
          <w:b/>
          <w:bCs/>
          <w:color w:val="0B1222"/>
          <w:sz w:val="28"/>
          <w:szCs w:val="28"/>
        </w:rPr>
        <w:t xml:space="preserve">3. 6-LAYER CROSS-DATA FUSION — Build Intelligence</w:t>
      </w:r>
    </w:p>
    <w:p>
      <w:pPr>
        <w:spacing w:after="120"/>
      </w:pPr>
      <w:r>
        <w:rPr>
          <w:rFonts w:ascii="Arial" w:cs="Arial" w:eastAsia="Arial" w:hAnsi="Arial"/>
          <w:color w:val="2E3440"/>
          <w:sz w:val="20"/>
          <w:szCs w:val="20"/>
        </w:rPr>
        <w:t xml:space="preserve">Each layer runs against the finalized spine. Each produces derived columns that trace back to specific source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Layer 1: Price Reality</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Join DLD traded prices × Bayut listings × inventory prices. Compute: price_gap_list_dld (% gap between listing and DLD traded), gentrification_signal (area price rising faster than city average), arbitrage_flag (listing &lt; DLD traded by &gt;15%).</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2.3</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Layer 2: Yield Truth</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Join DLD rentals × Bayut avg_rent × estimated yields. Compute: yield_gross_pct, yield_net_pct, yield_trap_flag (yield &gt;8% AND tx_count &lt; 5 — suspicious). Cross-validate: model yield vs actual DLD rental yield.</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Layer 3: Velocity &amp; Momentum</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Compute absorption_rate (DLD tx ÷ active listings per area). Flag dead_inventory (areas with 0 DLD transactions in 6 months). Compute oversupply_risk (listings ÷ tx ratio &gt; 10). Track launch_to_tx_lag_days per project.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Layer 4: Developer Adjudication</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Cross-reference: Sanity profiles × DLD trades × developer_registry. Compute: developer_honesty_index (DLD tx vs listings ratio), ghost_portfolio_flag (listed projects with 0 DLD tx), developer_tier (Boutique/Emerging/Established/Major based on portfolio size + reliability).</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Layer 5: Geospatial Intelligence</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Join Sanity geopoints × Bayut lat/lng × DLD area benchmarks. Compute: proximity_arbitrage (cheap projects within 2km of expensive areas), coverage_gaps (areas with projects but 0 geolocated points). Map all 883 geolocated projects.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2563EB" w:val="clear"/>
              </w:rPr>
              <w:t xml:space="preserve">P2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Layer 6: Confidence &amp; Meta</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Compute cross-source confidence score (0–7): +1 per source confirming the row (Sanity, DLD, Bayut, PF, FAM, geo, rental). Apply confidence_decay based on last_verified_at staleness. Assign confidence label: HIGH (5-7), MEDIUM (3-4), LOW (0-2).</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3.1-3.5</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K-Means Clustering — 5 Archetypes</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Run K-Means on price_from, yield_gross_pct, area_avg_score, developer_tier. Produce 5 clusters: Budget Yield, Premium Core, Growth Frontier, Speculative, Balanced Mid-Market. Assign cluster_archetype to every project.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2563EB" w:val="clear"/>
              </w:rPr>
              <w:t xml:space="preserve">P2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3.6</w:t>
            </w:r>
          </w:p>
        </w:tc>
      </w:tr>
    </w:tbl>
    <w:p>
      <w:r>
        <w:br w:type="page"/>
      </w:r>
    </w:p>
    <w:p>
      <w:pPr>
        <w:pStyle w:val="Heading1"/>
        <w:spacing w:before="400" w:after="200"/>
      </w:pPr>
      <w:r>
        <w:rPr>
          <w:rFonts w:ascii="Arial" w:cs="Arial" w:eastAsia="Arial" w:hAnsi="Arial"/>
          <w:b/>
          <w:bCs/>
          <w:color w:val="0B1222"/>
          <w:sz w:val="28"/>
          <w:szCs w:val="28"/>
        </w:rPr>
        <w:t xml:space="preserve">4. SCORING ENGINE — Market Score v1 + Investor Profiles</w:t>
      </w:r>
    </w:p>
    <w:p>
      <w:pPr>
        <w:spacing w:after="120"/>
      </w:pPr>
      <w:r>
        <w:rPr>
          <w:rFonts w:ascii="Arial" w:cs="Arial" w:eastAsia="Arial" w:hAnsi="Arial"/>
          <w:color w:val="2E3440"/>
          <w:sz w:val="20"/>
          <w:szCs w:val="20"/>
        </w:rPr>
        <w:t xml:space="preserve">Build the scoring layer that produces BUY/HOLD/WAIT signals and stress grades. Every score must be auditable via Evidence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Market Score v1 Composite</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Build composite investment_score (0–100) from weighted sub-scores: price_position_score, yield_score, developer_reliability_score, velocity_score, confidence_score. Define weights. Output: investment_score + decision_label (BUY/HOLD/WAIT).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3.6</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Stress Grades A–D</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Derive stress_grade_v1 from: data confidence, price volatility, developer reliability, absorption rate. A = strong across all dimensions, D = weak/missing data. This grades the quality of the verdict, not the verdict itself.</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21 Sub-Score Drivers</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Compute and populate all 21 sub-score columns: timing (7), stress (7), yield (5), evidence (5). Run: SELECT column_name FROM inventory_clean WHERE column_name LIKE '%_score'. Verify 0 NULLs across all 21 drivers for all scored projects.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Investor Profile Engine</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Build investor_profile assignment: First-Time Buyer, Conservative, Yield-Focused, Growth, Golden Visa, Trophy. Derive from: price_tier × risk_class × yield_profile × handover_status. Store per-project for default. Per-user profiles stored separately.</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Match Score Computation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Compute match_score per investor profile: Conservative weights developer_reliability higher, Yield weights yield_gross higher, Growth weights velocity higher. Configurable weights via JSON config. Store match_scores as JSONB per project.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2563EB" w:val="clear"/>
              </w:rPr>
              <w:t xml:space="preserve">P2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4.4</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market_scores_v1 Refresh Pipeline</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Build automated refresh: whenever inventory_clean changes, market_scores_v1 must recompute. Create trigger or scheduled job. Verify: UPDATE inventory_clean SET price_from = X → market_scores_v1 reflects within 5 minutes.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Score Validation Against DLD</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Back-test investment_score against historical DLD transactions. Projects scored BUY that had DLD sales within 6 months = true positive. Compute precision/recall. Target: &gt;60% precision for BUY signals.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2563EB" w:val="clear"/>
              </w:rPr>
              <w:t xml:space="preserve">P2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4.1</w:t>
            </w:r>
          </w:p>
        </w:tc>
      </w:tr>
    </w:tbl>
    <w:p>
      <w:r>
        <w:br w:type="page"/>
      </w:r>
    </w:p>
    <w:p>
      <w:pPr>
        <w:pStyle w:val="Heading1"/>
        <w:spacing w:before="400" w:after="200"/>
      </w:pPr>
      <w:r>
        <w:rPr>
          <w:rFonts w:ascii="Arial" w:cs="Arial" w:eastAsia="Arial" w:hAnsi="Arial"/>
          <w:b/>
          <w:bCs/>
          <w:color w:val="0B1222"/>
          <w:sz w:val="28"/>
          <w:szCs w:val="28"/>
        </w:rPr>
        <w:t xml:space="preserve">5. DECISION TUNNEL WIRING — Intent → Evidence → Judgment → Action</w:t>
      </w:r>
    </w:p>
    <w:p>
      <w:pPr>
        <w:spacing w:after="120"/>
      </w:pPr>
      <w:r>
        <w:rPr>
          <w:rFonts w:ascii="Arial" w:cs="Arial" w:eastAsia="Arial" w:hAnsi="Arial"/>
          <w:color w:val="2E3440"/>
          <w:sz w:val="20"/>
          <w:szCs w:val="20"/>
        </w:rPr>
        <w:t xml:space="preserve">Connect the AI layer to the data spine. The LLM produces TableSpecs; the Engine Room executes deterministic queries. No hallucinated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TableSpec Zod Schema</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Define and implement TableSpec schema in Zod: scope (city, area, project filters), time_grain, signals (columns from Column Registry), exclusions, joins, sort_order. Validate at runtime. Reject invalid specs before any DB call.</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Deterministic Query Builder</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Build the Engine Room: TableSpec → prisma.$queryRaw. Map TableSpec signals to Column Registry columns. Validate tier access per column. Apply exclusion policies. Construct parameterized queries only. Zero LLM SQL.</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Tier Gating Middleware</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Server-side middleware on every /api request: extract user tier from JWT → check requested columns against Column Registry tier field → block columns above user's tier. Return 403 with upgrade prompt for gated columns.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5.2</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Evidence Drawer API</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Build /api/evidence/:requestId endpoint. For every chat response: store the TableSpec used, the SQL executed, the rows returned, the exclusion policies applied, the assumptions made. Return structured JSON for the Evidence Drawer UI.</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Reference ID (requestId) System</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Every /api/chat and /api/intelligence response must include a unique requestId. Store in evidence_records table with: request_id, table_spec_json, sql_executed, rows_returned, timestamp. Invariant: no AI output claims a number without a requestId.</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5.4</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Golden Path TableSpecs</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Pre-validate 3 Golden Path TableSpecs: 'Underwrite Development Site', 'Compare Area Yields', 'Draft SPA Contract'. Each is a hardcoded valid TableSpec that bypasses LLM intent extraction. Fallback when Ask Compiler fails.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Ask Compiler Integration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Wire the LLM (Claude) to produce TableSpec JSON from natural language. System prompt: 'You produce ONLY a valid TableSpec JSON. No prose. No SQL. If you cannot parse the intent, return {fallback: true}.' Test with 50 sample queries.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5.6</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5.8</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RAG Pipeline to Live Inventory</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Connect /chat to live inventory_clean (2,813 projects). Chat must answer from real database, not general knowledge. Implement: user query → Ask Compiler → TableSpec → Engine Room → Neon → response with data cards. Verify: 'What's the yield in JVC?' returns real numbers.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5.7</w:t>
            </w:r>
          </w:p>
        </w:tc>
      </w:tr>
    </w:tbl>
    <w:p>
      <w:r>
        <w:br w:type="page"/>
      </w:r>
    </w:p>
    <w:p>
      <w:pPr>
        <w:pStyle w:val="Heading1"/>
        <w:spacing w:before="400" w:after="200"/>
      </w:pPr>
      <w:r>
        <w:rPr>
          <w:rFonts w:ascii="Arial" w:cs="Arial" w:eastAsia="Arial" w:hAnsi="Arial"/>
          <w:b/>
          <w:bCs/>
          <w:color w:val="0B1222"/>
          <w:sz w:val="28"/>
          <w:szCs w:val="28"/>
        </w:rPr>
        <w:t xml:space="preserve">6. NEON DATABASE — Push, Migrations, Views</w:t>
      </w:r>
    </w:p>
    <w:p>
      <w:pPr>
        <w:spacing w:after="120"/>
      </w:pPr>
      <w:r>
        <w:rPr>
          <w:rFonts w:ascii="Arial" w:cs="Arial" w:eastAsia="Arial" w:hAnsi="Arial"/>
          <w:color w:val="2E3440"/>
          <w:sz w:val="20"/>
          <w:szCs w:val="20"/>
        </w:rPr>
        <w:t xml:space="preserve">Push all finalized data to Neon. Create all required views and functions. Verify schema matches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Run Neon Migrations 0005 + 0006</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Execute pending Prisma migrations. Add: column_registry table, provenance table, evidence_records table, signals table. Verify with: npx prisma db pull → compare to schema.prisma.</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Push Column Registry to Neon</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INSERT all 55 catalogued columns from the Column Registry into column_registry table. Fields: column_name, group_name, data_type, tier, source, display_name, description. This table powers tier gating middleware.</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Push Provenance Records</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For every project in inventory_clean: INSERT provenance record mapping project_id to source tables used (sanity_driven, bayut_listings, dld_sales_transactions, pf_scraped, fam_data). This powers the Evidence Drawer.</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Create API Views</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Create or refresh all required Postgres views: entrestate_projects_api (frontend listing), entrestate_areas_api (area profiles), entrestate_developers_api (developer profiles), entrestate_top_data (market intelligence hub). Each view JOINs inventory_clean with relevant intelligence tables.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Developer Registry Sync</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Push developer_registry to Neon. Sync entrestate_developers_api view to include ALL developers from inventory_clean (target: 70+). Previously broken: /developers returned 500 error. Verify: GET /api/developers returns valid JSON.</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DLD Transaction Tables</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Push/refresh dld_sales_transactions (10K rows) and dld_rental_transactions (5K rows) to Neon. Create dld_area_benchmarks_live materialized view aggregating: median price, avg yield, tx count per area.</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1.2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Signals + Decision Output Tables</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Push signals table (one row per scored project: all 21 sub-scores). Push decision_outputs table (investment_score, decision_label, stress_grade, investor_profile). Push market_pulse (1 row: overall market state).</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6.8</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Prisma Schema Sync</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Run npx prisma db pull to regenerate schema from live Neon. Compare with /prisma/schema.prisma in repo. Fix any drift. Run npx prisma generate. Verify: all models match live DB.</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6.1-6.7</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6.9</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DB Contract Tests</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Write contract tests for all required views and functions. Run nightly via CI with NEON_DATABASE_URL (read-only). Tests: each view returns &gt;0 rows, each required column exists, price_aed is numeric, no NULL project_ids.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6.8</w:t>
            </w:r>
          </w:p>
        </w:tc>
      </w:tr>
    </w:tbl>
    <w:p>
      <w:r>
        <w:br w:type="page"/>
      </w:r>
    </w:p>
    <w:p>
      <w:pPr>
        <w:pStyle w:val="Heading1"/>
        <w:spacing w:before="400" w:after="200"/>
      </w:pPr>
      <w:r>
        <w:rPr>
          <w:rFonts w:ascii="Arial" w:cs="Arial" w:eastAsia="Arial" w:hAnsi="Arial"/>
          <w:b/>
          <w:bCs/>
          <w:color w:val="0B1222"/>
          <w:sz w:val="28"/>
          <w:szCs w:val="28"/>
        </w:rPr>
        <w:t xml:space="preserve">7. COMMERCIAL PLUMBING — Revenue Infrastructure</w:t>
      </w:r>
    </w:p>
    <w:p>
      <w:pPr>
        <w:spacing w:after="120"/>
      </w:pPr>
      <w:r>
        <w:rPr>
          <w:rFonts w:ascii="Arial" w:cs="Arial" w:eastAsia="Arial" w:hAnsi="Arial"/>
          <w:color w:val="2E3440"/>
          <w:sz w:val="20"/>
          <w:szCs w:val="20"/>
        </w:rPr>
        <w:t xml:space="preserve">A product without a cash register is a hobby. Build the payment, gating, and registration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Stripe Integration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Integrate Stripe for subscription billing. Create products: Pro (monthly), Business (monthly), Enterprise (annual/custom). Wire to /account/billing. Create Stripe webhook handler for subscription events.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7.2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Build /plans Page</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Design and implement the /plans pricing page. Show tiers: Free / Pro / Business / Enterprise with feature comparison. Connect to Stripe Checkout. Currently a blank shell — zero revenue without this.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7.1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Soft-Gate Verdict Blur</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Build frontend blur component for BUY/HOLD/WAIT signal and Developer Reliability Score on project detail pages. Show full project card but blur the verdict. Below blur: 'Unlock Investment Verdict — Register Free' or 'Upgrade to Pro'.</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7.2</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7.4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Value-Moment Registration Flow</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Implement in chat: after 3–5 substantive exchanges, agent offers to send a report or save the session. User provides email/phone to receive deliverable. Registration happens as side effect. No OTP screen. No signup page.</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5.8</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Workspace (Action Board Backend)</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Create workspace table in Neon: user_id, tool_id, activated_at, tier_required, usage_count. When user first engages a tool (e.g., clicks 'Generate Report' on a project page), auto-add to their workspace. Show in /account.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7.6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Tool Trial Tracking</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Track per-user trial usage: report_builder_uses, offer_creator_uses, monitoring_count, excel_exports. Store in user_tool_usage table. When trial limit hit: prompt upgrade. No hard block — show what they'd get.</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7.5</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JWT Auth + Shared Sessions</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Implement JWT-based auth shared across entrestate.com and entrestate.ai. Phone-based registration via Twilio. Session persistence across domains. Verify: register on entrestate.com → auto-logged-in on entrestate.ai.</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7.4</w:t>
            </w:r>
          </w:p>
        </w:tc>
      </w:tr>
    </w:tbl>
    <w:p>
      <w:r>
        <w:br w:type="page"/>
      </w:r>
    </w:p>
    <w:p>
      <w:pPr>
        <w:pStyle w:val="Heading1"/>
        <w:spacing w:before="400" w:after="200"/>
      </w:pPr>
      <w:r>
        <w:rPr>
          <w:rFonts w:ascii="Arial" w:cs="Arial" w:eastAsia="Arial" w:hAnsi="Arial"/>
          <w:b/>
          <w:bCs/>
          <w:color w:val="0B1222"/>
          <w:sz w:val="28"/>
          <w:szCs w:val="28"/>
        </w:rPr>
        <w:t xml:space="preserve">8. PRODUCTION HARDENING — Smoke Tests, CI, Launch</w:t>
      </w:r>
    </w:p>
    <w:p>
      <w:pPr>
        <w:spacing w:after="120"/>
      </w:pPr>
      <w:r>
        <w:rPr>
          <w:rFonts w:ascii="Arial" w:cs="Arial" w:eastAsia="Arial" w:hAnsi="Arial"/>
          <w:color w:val="2E3440"/>
          <w:sz w:val="20"/>
          <w:szCs w:val="20"/>
        </w:rPr>
        <w:t xml:space="preserve">Lock everything down. No debug leaks. No admin bypass. Every endpoint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800"/>
        <w:gridCol w:w="1200"/>
      </w:tblGrid>
      <w:tr>
        <w:tc>
          <w:tcPr>
            <w:tcW w:type="dxa" w:w="6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35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 / Acceptance Criteria</w:t>
            </w:r>
          </w:p>
        </w:tc>
        <w:tc>
          <w:tcPr>
            <w:tcW w:type="dxa" w:w="8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Smoke Test: /chat Endpoint</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Automated test: POST /api/intelligence with 10 sample queries. Verify: response includes {content, dataCards, requestId}. No internal errors leaked. Response time &lt; 5s. Data cards contain real project data, not hallucinated.</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5.8</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8.2</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Smoke Test: /api/markets</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Verify GET /api/markets returns valid BUY/HOLD/WAIT distribution, timing signals, stress grades. All numbers trace to inventory_clean. Response shape stable.</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Smoke Test: Arabic Locale</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Run smoke (2).ts for Arabic locale + session stability. Verify: all routes render in AR, chat responds in Arabic when queried in Arabic, RTL layout correct.</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8.1</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8.4</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CI Pipeline: pnpm lint/test/build</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Configure GitHub Actions: pnpm lint → pnpm test → pnpm build on every PR. Fail on any error. Add nightly job for DB contract tests (requires NEON_DATABASE_URL secret).</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6.9</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Statement Timeouts</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Set Neon statement timeout to 30s. Implement safe clamps in all API routes. Consistent error shape on timeout: {error: 'QUERY_TIMEOUT', requestId}. No hung connections.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97706" w:val="clear"/>
              </w:rPr>
              <w:t xml:space="preserve">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6.8</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8.6</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No Debug Leaks in Prod</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Audit all API routes: no console.log of sensitive data, no SQL in error responses, no admin routes accessible without admin JWT, no .env variables in client bundle. Run: grep -r 'console.log' /api/.</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None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Vercel Deployment Verification</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Deploy to production. Verify all routes respond. Run full smoke suite against production URL (with bypass header). Check: /properties loads 2,813 projects, /areas loads 190 areas, /developers loads 70+ developers. No 500 errors.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8.1-8.6</w:t>
            </w:r>
          </w:p>
        </w:tc>
      </w:tr>
      <w:tr>
        <w:tc>
          <w:tcPr>
            <w:tcW w:type="dxa" w:w="6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8.8</w:t>
            </w:r>
          </w:p>
        </w:tc>
        <w:tc>
          <w:tcPr>
            <w:tcW w:type="dxa" w:w="3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sz w:val="18"/>
                <w:szCs w:val="18"/>
              </w:rPr>
              <w:t xml:space="preserve">Trust Indicator Calibration</w:t>
            </w:r>
          </w:p>
        </w:tc>
        <w:tc>
          <w:tcPr>
            <w:tcW w:type="dxa" w:w="35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Final check: confidence displays show valid percentages. All BUY/HOLD/WAIT counts sum correctly on /overview. /top-data shows 14 sections with real data. SOC 2 badge removed. 'Data Methodology' link works.</w:t>
            </w:r>
          </w:p>
        </w:tc>
        <w:tc>
          <w:tcPr>
            <w:tcW w:type="dxa" w:w="8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b/>
                <w:bCs/>
                <w:color w:val="FFFFFF"/>
                <w:sz w:val="18"/>
                <w:szCs w:val="18"/>
                <w:shd w:fill="DC2626" w:val="clear"/>
              </w:rPr>
              <w:t xml:space="preserve">P0</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1.5, 1.6</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8.9</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Data Freshness Monitoring</w:t>
            </w:r>
          </w:p>
        </w:tc>
        <w:tc>
          <w:tcPr>
            <w:tcW w:type="dxa" w:w="35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Implement /status page: show last_updated timestamps for each data source (Sanity, DLD, Bayut, PF). Flag stale sources (&gt;30 days). Show pipeline health. This is the operational dashboard.</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color w:val="FFFFFF"/>
                <w:sz w:val="18"/>
                <w:szCs w:val="18"/>
                <w:shd w:fill="2563EB" w:val="clear"/>
              </w:rPr>
              <w:t xml:space="preserve">P2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6.4</w:t>
            </w:r>
          </w:p>
        </w:tc>
      </w:tr>
    </w:tbl>
    <w:p>
      <w:r>
        <w:br w:type="page"/>
      </w:r>
    </w:p>
    <w:p>
      <w:pPr>
        <w:pStyle w:val="Heading1"/>
        <w:spacing w:before="400" w:after="200"/>
      </w:pPr>
      <w:r>
        <w:rPr>
          <w:rFonts w:ascii="Arial" w:cs="Arial" w:eastAsia="Arial" w:hAnsi="Arial"/>
          <w:b/>
          <w:bCs/>
          <w:color w:val="0B1222"/>
          <w:sz w:val="28"/>
          <w:szCs w:val="28"/>
        </w:rPr>
        <w:t xml:space="preserve">.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Tasks</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P0</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P1</w:t>
            </w:r>
          </w:p>
        </w:tc>
        <w:tc>
          <w:tcPr>
            <w:tcW w:type="dxa" w:w="120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P2</w:t>
            </w:r>
          </w:p>
        </w:tc>
        <w:tc>
          <w:tcPr>
            <w:tcW w:type="dxa" w:w="2160"/>
            <w:tcBorders>
              <w:top w:val="single" w:color="D0D0D0" w:sz="1"/>
              <w:left w:val="single" w:color="D0D0D0" w:sz="1"/>
              <w:bottom w:val="single" w:color="D0D0D0" w:sz="1"/>
              <w:right w:val="single" w:color="D0D0D0" w:sz="1"/>
            </w:tcBorders>
            <w:shd w:fill="0B1222" w:val="clear"/>
            <w:tcMar>
              <w:top w:type="dxa" w:w="60"/>
              <w:left w:type="dxa" w:w="100"/>
              <w:bottom w:type="dxa" w:w="60"/>
              <w:right w:type="dxa" w:w="100"/>
            </w:tcMar>
            <w:vAlign w:val="center"/>
          </w:tcPr>
          <w:p>
            <w:r>
              <w:rPr>
                <w:rFonts w:ascii="Arial" w:cs="Arial" w:eastAsia="Arial" w:hAnsi="Arial"/>
                <w:b/>
                <w:bCs/>
                <w:color w:val="FFFFFF"/>
                <w:sz w:val="18"/>
                <w:szCs w:val="18"/>
              </w:rPr>
              <w:t xml:space="preserve">Blocks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1. Data Integrity Emergency</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Everything</w:t>
            </w:r>
          </w:p>
        </w:tc>
      </w:tr>
      <w:tr>
        <w:tc>
          <w:tcPr>
            <w:tcW w:type="dxa" w:w="24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 Single Spine Finalization</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21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Phase 3-8</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 6-Layer Cross-Data Fusion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Phase 4-5</w:t>
            </w:r>
          </w:p>
        </w:tc>
      </w:tr>
      <w:tr>
        <w:tc>
          <w:tcPr>
            <w:tcW w:type="dxa" w:w="24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 Scoring Engine</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21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Phase 5, 7</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5. Decision Tunnel Wiring</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Phase 7</w:t>
            </w:r>
          </w:p>
        </w:tc>
      </w:tr>
      <w:tr>
        <w:tc>
          <w:tcPr>
            <w:tcW w:type="dxa" w:w="24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6. Neon Push + Migrations</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9</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21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Phase 7-8</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 Commercial Plumbing</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sz w:val="18"/>
                <w:szCs w:val="18"/>
              </w:rPr>
              <w:t xml:space="preserve">Launch</w:t>
            </w:r>
          </w:p>
        </w:tc>
      </w:tr>
      <w:tr>
        <w:tc>
          <w:tcPr>
            <w:tcW w:type="dxa" w:w="24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8. Production Hardening</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9</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20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2160"/>
            <w:tcBorders>
              <w:top w:val="single" w:color="D0D0D0" w:sz="1"/>
              <w:left w:val="single" w:color="D0D0D0" w:sz="1"/>
              <w:bottom w:val="single" w:color="D0D0D0" w:sz="1"/>
              <w:right w:val="single" w:color="D0D0D0" w:sz="1"/>
            </w:tcBorders>
            <w:shd w:fill="F5F4F0" w:val="clear"/>
            <w:tcMar>
              <w:top w:type="dxa" w:w="60"/>
              <w:left w:type="dxa" w:w="100"/>
              <w:bottom w:type="dxa" w:w="60"/>
              <w:right w:type="dxa" w:w="100"/>
            </w:tcMar>
          </w:tcPr>
          <w:p>
            <w:pPr>
              <w:spacing w:after="0"/>
            </w:pPr>
            <w:r>
              <w:rPr>
                <w:rFonts w:ascii="Arial" w:cs="Arial" w:eastAsia="Arial" w:hAnsi="Arial"/>
                <w:sz w:val="18"/>
                <w:szCs w:val="18"/>
              </w:rPr>
              <w:t xml:space="preserve">Launch</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TOTAL</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62</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27 P0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26 P1</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6 P2</w:t>
            </w:r>
          </w:p>
        </w:tc>
        <w:tc>
          <w:tcPr>
            <w:tcW w:type="dxa" w:w="2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pPr>
            <w:r>
              <w:rPr>
                <w:rFonts w:ascii="Arial" w:cs="Arial" w:eastAsia="Arial" w:hAnsi="Arial"/>
                <w:b/>
                <w:bCs/>
                <w:sz w:val="18"/>
                <w:szCs w:val="18"/>
              </w:rPr>
              <w:t xml:space="preserve"/>
            </w:r>
          </w:p>
        </w:tc>
      </w:tr>
    </w:tbl>
    <w:p>
      <w:pPr>
        <w:spacing w:before="300" w:after="100"/>
      </w:pPr>
      <w:r>
        <w:rPr>
          <w:rFonts w:ascii="Arial" w:cs="Arial" w:eastAsia="Arial" w:hAnsi="Arial"/>
          <w:b/>
          <w:bCs/>
          <w:color w:val="DC2626"/>
          <w:sz w:val="20"/>
          <w:szCs w:val="20"/>
        </w:rPr>
        <w:t xml:space="preserve">Critical Path: </w:t>
      </w:r>
      <w:r>
        <w:rPr>
          <w:rFonts w:ascii="Arial" w:cs="Arial" w:eastAsia="Arial" w:hAnsi="Arial"/>
          <w:color w:val="2E3440"/>
          <w:sz w:val="20"/>
          <w:szCs w:val="20"/>
        </w:rPr>
        <w:t xml:space="preserve">Phase 1 → Phase 2 → Phase 4 (scoring) → Phase 5 (tunnel wiring) → Phase 6 (Neon push) → Phase 7 (commercial) → Phase 8 (launch).</w:t>
      </w:r>
    </w:p>
    <w:p>
      <w:pPr>
        <w:spacing w:after="100"/>
      </w:pPr>
      <w:r>
        <w:rPr>
          <w:rFonts w:ascii="Arial" w:cs="Arial" w:eastAsia="Arial" w:hAnsi="Arial"/>
          <w:b/>
          <w:bCs/>
          <w:color w:val="2563EB"/>
          <w:sz w:val="20"/>
          <w:szCs w:val="20"/>
        </w:rPr>
        <w:t xml:space="preserve">Parallel Track: </w:t>
      </w:r>
      <w:r>
        <w:rPr>
          <w:rFonts w:ascii="Arial" w:cs="Arial" w:eastAsia="Arial" w:hAnsi="Arial"/>
          <w:color w:val="2E3440"/>
          <w:sz w:val="20"/>
          <w:szCs w:val="20"/>
        </w:rPr>
        <w:t xml:space="preserve">Phase 3 (fusion layers) can run in parallel with Phase 2 once area normalization (1.2) is complete.</w:t>
      </w:r>
    </w:p>
    <w:p>
      <w:pPr>
        <w:spacing w:after="200"/>
      </w:pPr>
      <w:r>
        <w:rPr>
          <w:rFonts w:ascii="Arial" w:cs="Arial" w:eastAsia="Arial" w:hAnsi="Arial"/>
          <w:b/>
          <w:bCs/>
          <w:color w:val="DC2626"/>
          <w:sz w:val="20"/>
          <w:szCs w:val="20"/>
        </w:rPr>
        <w:t xml:space="preserve">Zero-Revenue Blockers: </w:t>
      </w:r>
      <w:r>
        <w:rPr>
          <w:rFonts w:ascii="Arial" w:cs="Arial" w:eastAsia="Arial" w:hAnsi="Arial"/>
          <w:color w:val="2E3440"/>
          <w:sz w:val="20"/>
          <w:szCs w:val="20"/>
        </w:rPr>
        <w:t xml:space="preserve">7.1 (Stripe), 7.2 (/plans page), 7.3 (soft-gate blur). Without these three, the platform generates exactly zero revenue.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2026-03-21T02:51:17.720Z</dcterms:created>
  <dcterms:modified xsi:type="dcterms:W3CDTF">2026-03-21T02:51:17.721Z</dcterms:modified>
</cp:coreProperties>
</file>

<file path=docProps/custom.xml><?xml version="1.0" encoding="utf-8"?>
<Properties xmlns="http://schemas.openxmlformats.org/officeDocument/2006/custom-properties" xmlns:vt="http://schemas.openxmlformats.org/officeDocument/2006/docPropsVTypes"/>
</file>