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Definición de temáticas</w:t>
      </w: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Lista de accidentes aereos desde 1908 a 2019</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Introducción</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avión, segun las estadisticas, es el transporte más seguro de todos. Por cada 2,4 millones de vuelos se registra solamente un accidente de forma grave. Si lo comparamos con un accidentes de otros transportes, por ejemplo el auto, estos lo sobrepasan por mucho.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Este nivel de baja accidentalidad es debido a un conjunto de pasos que se miden milimétricamente cuando está previsto un despegue: para que el motor del avión arranque y se ponga a andar hay que respetar una serie de normas básicas que se deben cumplir . Tanto los técnicos, como los pilotos y los tripulantes realizan un importante y detallado seguimiento de todo tipo de procedimientos y medidas preventivas para el caso en que tenga lugar un accidente.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aviones pasan por varias inspecciones: una que se realiza diariamente antes del primer vuelo, otra que se da cada 100 horas de estar en el aire, otra cada 600 horas, una siguiente cada 18 meses y la llamada ‘Gran Parada’, cada cinco años o lo que equivale a 30.000 horas de vuelo.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16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Descripción y objetivo de la Temática</w:t>
      </w: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Considerando estos detalles a la hora de emprender un vuelo, en nuestra Escuela de tripulantes de cabina nos decidimos a recopilar cada uno de los accidentes aereos desde el año 1908 hasta 2019. Para poder comprender, estudiar y preparar a nuestros estudiantes de la mejor forma posible al momento de volar.</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ab/>
        <w:tab/>
        <w:tab/>
        <w:tab/>
        <w:tab/>
        <w:tab/>
        <w:tab/>
        <w:t xml:space="preserve">Leonardo Caravetta</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