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siness-requirements-document"/>
    <w:p>
      <w:pPr>
        <w:pStyle w:val="Heading1"/>
      </w:pPr>
      <w:r>
        <w:t xml:space="preserve">Business Requirements Document</w:t>
      </w:r>
    </w:p>
    <w:bookmarkEnd w:id="20"/>
    <w:bookmarkStart w:id="67" w:name="investment-processing"/>
    <w:p>
      <w:pPr>
        <w:pStyle w:val="Heading1"/>
      </w:pPr>
      <w:r>
        <w:t xml:space="preserve">Investment Processing</w:t>
      </w:r>
    </w:p>
    <w:bookmarkStart w:id="21" w:name="document-control"/>
    <w:p>
      <w:pPr>
        <w:pStyle w:val="Heading2"/>
      </w:pPr>
      <w:r>
        <w:t xml:space="preserve">Document Control</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Item</w:t>
            </w:r>
          </w:p>
        </w:tc>
        <w:tc>
          <w:tcPr/>
          <w:p>
            <w:pPr>
              <w:pStyle w:val="Compact"/>
              <w:jc w:val="left"/>
            </w:pPr>
            <w:r>
              <w:t xml:space="preserve">Description</w:t>
            </w:r>
          </w:p>
        </w:tc>
      </w:tr>
      <w:tr>
        <w:tc>
          <w:tcPr/>
          <w:p>
            <w:pPr>
              <w:pStyle w:val="Compact"/>
              <w:jc w:val="left"/>
            </w:pPr>
            <w:r>
              <w:t xml:space="preserve">Document Title</w:t>
            </w:r>
          </w:p>
        </w:tc>
        <w:tc>
          <w:tcPr/>
          <w:p>
            <w:pPr>
              <w:pStyle w:val="Compact"/>
              <w:jc w:val="left"/>
            </w:pPr>
            <w:r>
              <w:t xml:space="preserve">Investment Processing - Business Requirements Document</w:t>
            </w:r>
          </w:p>
        </w:tc>
      </w:tr>
      <w:tr>
        <w:tc>
          <w:tcPr/>
          <w:p>
            <w:pPr>
              <w:pStyle w:val="Compact"/>
              <w:jc w:val="left"/>
            </w:pPr>
            <w:r>
              <w:t xml:space="preserve">Document Version</w:t>
            </w:r>
          </w:p>
        </w:tc>
        <w:tc>
          <w:tcPr/>
          <w:p>
            <w:pPr>
              <w:pStyle w:val="Compact"/>
              <w:jc w:val="left"/>
            </w:pPr>
            <w:r>
              <w:t xml:space="preserve">1.0</w:t>
            </w:r>
          </w:p>
        </w:tc>
      </w:tr>
      <w:tr>
        <w:tc>
          <w:tcPr/>
          <w:p>
            <w:pPr>
              <w:pStyle w:val="Compact"/>
              <w:jc w:val="left"/>
            </w:pPr>
            <w:r>
              <w:t xml:space="preserve">Document Status</w:t>
            </w:r>
          </w:p>
        </w:tc>
        <w:tc>
          <w:tcPr/>
          <w:p>
            <w:pPr>
              <w:pStyle w:val="Compact"/>
              <w:jc w:val="left"/>
            </w:pPr>
            <w:r>
              <w:t xml:space="preserve">Draft</w:t>
            </w:r>
          </w:p>
        </w:tc>
      </w:tr>
      <w:tr>
        <w:tc>
          <w:tcPr/>
          <w:p>
            <w:pPr>
              <w:pStyle w:val="Compact"/>
              <w:jc w:val="left"/>
            </w:pPr>
            <w:r>
              <w:t xml:space="preserve">Document Owner</w:t>
            </w:r>
          </w:p>
        </w:tc>
        <w:tc>
          <w:tcPr/>
          <w:p>
            <w:pPr>
              <w:pStyle w:val="Compact"/>
              <w:jc w:val="left"/>
            </w:pPr>
            <w:r>
              <w:t xml:space="preserve">[Document Owner]</w:t>
            </w:r>
          </w:p>
        </w:tc>
      </w:tr>
      <w:tr>
        <w:tc>
          <w:tcPr/>
          <w:p>
            <w:pPr>
              <w:pStyle w:val="Compact"/>
              <w:jc w:val="left"/>
            </w:pPr>
            <w:r>
              <w:t xml:space="preserve">Last Updated</w:t>
            </w:r>
          </w:p>
        </w:tc>
        <w:tc>
          <w:tcPr/>
          <w:p>
            <w:pPr>
              <w:pStyle w:val="Compact"/>
              <w:jc w:val="left"/>
            </w:pPr>
            <w:r>
              <w:t xml:space="preserve">March 20, 2025</w:t>
            </w:r>
          </w:p>
        </w:tc>
      </w:tr>
    </w:tbl>
    <w:bookmarkEnd w:id="21"/>
    <w:bookmarkStart w:id="25" w:name="introduction"/>
    <w:p>
      <w:pPr>
        <w:pStyle w:val="Heading2"/>
      </w:pPr>
      <w:r>
        <w:t xml:space="preserve">1. Introduction</w:t>
      </w:r>
    </w:p>
    <w:bookmarkStart w:id="22" w:name="purpose"/>
    <w:p>
      <w:pPr>
        <w:pStyle w:val="Heading3"/>
      </w:pPr>
      <w:r>
        <w:t xml:space="preserve">1.1 Purpose</w:t>
      </w:r>
    </w:p>
    <w:p>
      <w:pPr>
        <w:pStyle w:val="FirstParagraph"/>
      </w:pPr>
      <w:r>
        <w:t xml:space="preserve">This document outlines the business requirements for the Investment Processing component of the Emtelaak Platform. This component is responsible for managing the investment flow, processing property share purchases, recording ownership, and distributing dividends to investors.</w:t>
      </w:r>
    </w:p>
    <w:bookmarkEnd w:id="22"/>
    <w:bookmarkStart w:id="23" w:name="scope"/>
    <w:p>
      <w:pPr>
        <w:pStyle w:val="Heading3"/>
      </w:pPr>
      <w:r>
        <w:t xml:space="preserve">1.2 Scope</w:t>
      </w:r>
    </w:p>
    <w:p>
      <w:pPr>
        <w:pStyle w:val="FirstParagraph"/>
      </w:pPr>
      <w:r>
        <w:t xml:space="preserve">The Investment Processing system will handle the following processes:</w:t>
      </w:r>
      <w:r>
        <w:t xml:space="preserve"> </w:t>
      </w:r>
      <w:r>
        <w:t xml:space="preserve">- Investment flow for primary market offerings</w:t>
      </w:r>
      <w:r>
        <w:t xml:space="preserve"> </w:t>
      </w:r>
      <w:r>
        <w:t xml:space="preserve">- Funding verification and payment processing</w:t>
      </w:r>
      <w:r>
        <w:t xml:space="preserve"> </w:t>
      </w:r>
      <w:r>
        <w:t xml:space="preserve">- Investment confirmation and ownership recording</w:t>
      </w:r>
      <w:r>
        <w:t xml:space="preserve"> </w:t>
      </w:r>
      <w:r>
        <w:t xml:space="preserve">- Dividend calculation and distribution</w:t>
      </w:r>
      <w:r>
        <w:t xml:space="preserve"> </w:t>
      </w:r>
      <w:r>
        <w:t xml:space="preserve">- Investment tracking and reporting</w:t>
      </w:r>
      <w:r>
        <w:t xml:space="preserve"> </w:t>
      </w:r>
      <w:r>
        <w:t xml:space="preserve">- Tax documentation</w:t>
      </w:r>
    </w:p>
    <w:bookmarkEnd w:id="23"/>
    <w:bookmarkStart w:id="24" w:name="references"/>
    <w:p>
      <w:pPr>
        <w:pStyle w:val="Heading3"/>
      </w:pPr>
      <w:r>
        <w:t xml:space="preserve">1.3 References</w:t>
      </w:r>
    </w:p>
    <w:p>
      <w:pPr>
        <w:numPr>
          <w:ilvl w:val="0"/>
          <w:numId w:val="1001"/>
        </w:numPr>
        <w:pStyle w:val="Compact"/>
      </w:pPr>
      <w:r>
        <w:t xml:space="preserve">Project Charter (project-charter.docx)</w:t>
      </w:r>
    </w:p>
    <w:p>
      <w:pPr>
        <w:numPr>
          <w:ilvl w:val="0"/>
          <w:numId w:val="1001"/>
        </w:numPr>
        <w:pStyle w:val="Compact"/>
      </w:pPr>
      <w:r>
        <w:t xml:space="preserve">Development Approach and Tech Stack (development-approach.docx)</w:t>
      </w:r>
    </w:p>
    <w:p>
      <w:pPr>
        <w:numPr>
          <w:ilvl w:val="0"/>
          <w:numId w:val="1001"/>
        </w:numPr>
        <w:pStyle w:val="Compact"/>
      </w:pPr>
      <w:r>
        <w:t xml:space="preserve">Feature Comparison with Similar Platforms (emtelaak-feature-comparison.docx)</w:t>
      </w:r>
    </w:p>
    <w:p>
      <w:pPr>
        <w:numPr>
          <w:ilvl w:val="0"/>
          <w:numId w:val="1001"/>
        </w:numPr>
        <w:pStyle w:val="Compact"/>
      </w:pPr>
      <w:r>
        <w:t xml:space="preserve">Investment Flow (Investment flow.pdf)</w:t>
      </w:r>
    </w:p>
    <w:bookmarkEnd w:id="24"/>
    <w:bookmarkEnd w:id="25"/>
    <w:bookmarkStart w:id="29" w:name="stakeholders"/>
    <w:p>
      <w:pPr>
        <w:pStyle w:val="Heading2"/>
      </w:pPr>
      <w:r>
        <w:t xml:space="preserve">2. Stakeholders</w:t>
      </w:r>
    </w:p>
    <w:bookmarkStart w:id="26" w:name="business-stakeholders"/>
    <w:p>
      <w:pPr>
        <w:pStyle w:val="Heading3"/>
      </w:pPr>
      <w:r>
        <w:t xml:space="preserve">2.1 Business Stakeholders</w:t>
      </w:r>
    </w:p>
    <w:p>
      <w:pPr>
        <w:numPr>
          <w:ilvl w:val="0"/>
          <w:numId w:val="1002"/>
        </w:numPr>
        <w:pStyle w:val="Compact"/>
      </w:pPr>
      <w:r>
        <w:t xml:space="preserve">Executive Sponsors</w:t>
      </w:r>
    </w:p>
    <w:p>
      <w:pPr>
        <w:numPr>
          <w:ilvl w:val="0"/>
          <w:numId w:val="1002"/>
        </w:numPr>
        <w:pStyle w:val="Compact"/>
      </w:pPr>
      <w:r>
        <w:t xml:space="preserve">Product Owner</w:t>
      </w:r>
    </w:p>
    <w:p>
      <w:pPr>
        <w:numPr>
          <w:ilvl w:val="0"/>
          <w:numId w:val="1002"/>
        </w:numPr>
        <w:pStyle w:val="Compact"/>
      </w:pPr>
      <w:r>
        <w:t xml:space="preserve">Legal &amp; Compliance Team</w:t>
      </w:r>
    </w:p>
    <w:p>
      <w:pPr>
        <w:numPr>
          <w:ilvl w:val="0"/>
          <w:numId w:val="1002"/>
        </w:numPr>
        <w:pStyle w:val="Compact"/>
      </w:pPr>
      <w:r>
        <w:t xml:space="preserve">Finance Team</w:t>
      </w:r>
    </w:p>
    <w:bookmarkEnd w:id="26"/>
    <w:bookmarkStart w:id="27" w:name="technical-stakeholders"/>
    <w:p>
      <w:pPr>
        <w:pStyle w:val="Heading3"/>
      </w:pPr>
      <w:r>
        <w:t xml:space="preserve">2.2 Technical Stakeholders</w:t>
      </w:r>
    </w:p>
    <w:p>
      <w:pPr>
        <w:numPr>
          <w:ilvl w:val="0"/>
          <w:numId w:val="1003"/>
        </w:numPr>
        <w:pStyle w:val="Compact"/>
      </w:pPr>
      <w:r>
        <w:t xml:space="preserve">Project Manager</w:t>
      </w:r>
    </w:p>
    <w:p>
      <w:pPr>
        <w:numPr>
          <w:ilvl w:val="0"/>
          <w:numId w:val="1003"/>
        </w:numPr>
        <w:pStyle w:val="Compact"/>
      </w:pPr>
      <w:r>
        <w:t xml:space="preserve">Technical Architect</w:t>
      </w:r>
    </w:p>
    <w:p>
      <w:pPr>
        <w:numPr>
          <w:ilvl w:val="0"/>
          <w:numId w:val="1003"/>
        </w:numPr>
        <w:pStyle w:val="Compact"/>
      </w:pPr>
      <w:r>
        <w:t xml:space="preserve">Development Team</w:t>
      </w:r>
    </w:p>
    <w:p>
      <w:pPr>
        <w:numPr>
          <w:ilvl w:val="0"/>
          <w:numId w:val="1003"/>
        </w:numPr>
        <w:pStyle w:val="Compact"/>
      </w:pPr>
      <w:r>
        <w:t xml:space="preserve">QA Team</w:t>
      </w:r>
    </w:p>
    <w:p>
      <w:pPr>
        <w:numPr>
          <w:ilvl w:val="0"/>
          <w:numId w:val="1003"/>
        </w:numPr>
        <w:pStyle w:val="Compact"/>
      </w:pPr>
      <w:r>
        <w:t xml:space="preserve">Security Team</w:t>
      </w:r>
    </w:p>
    <w:bookmarkEnd w:id="27"/>
    <w:bookmarkStart w:id="28" w:name="end-users"/>
    <w:p>
      <w:pPr>
        <w:pStyle w:val="Heading3"/>
      </w:pPr>
      <w:r>
        <w:t xml:space="preserve">2.3 End Users</w:t>
      </w:r>
    </w:p>
    <w:p>
      <w:pPr>
        <w:numPr>
          <w:ilvl w:val="0"/>
          <w:numId w:val="1004"/>
        </w:numPr>
        <w:pStyle w:val="Compact"/>
      </w:pPr>
      <w:r>
        <w:t xml:space="preserve">Investors (Individuals and institutions)</w:t>
      </w:r>
    </w:p>
    <w:p>
      <w:pPr>
        <w:numPr>
          <w:ilvl w:val="0"/>
          <w:numId w:val="1004"/>
        </w:numPr>
        <w:pStyle w:val="Compact"/>
      </w:pPr>
      <w:r>
        <w:t xml:space="preserve">Property Issuers</w:t>
      </w:r>
    </w:p>
    <w:p>
      <w:pPr>
        <w:numPr>
          <w:ilvl w:val="0"/>
          <w:numId w:val="1004"/>
        </w:numPr>
        <w:pStyle w:val="Compact"/>
      </w:pPr>
      <w:r>
        <w:t xml:space="preserve">Platform Administrators</w:t>
      </w:r>
    </w:p>
    <w:bookmarkEnd w:id="28"/>
    <w:bookmarkEnd w:id="29"/>
    <w:bookmarkStart w:id="32" w:name="business-objectives"/>
    <w:p>
      <w:pPr>
        <w:pStyle w:val="Heading2"/>
      </w:pPr>
      <w:r>
        <w:t xml:space="preserve">3. Business Objectives</w:t>
      </w:r>
    </w:p>
    <w:bookmarkStart w:id="30" w:name="primary-objectives"/>
    <w:p>
      <w:pPr>
        <w:pStyle w:val="Heading3"/>
      </w:pPr>
      <w:r>
        <w:t xml:space="preserve">3.1 Primary Objectives</w:t>
      </w:r>
    </w:p>
    <w:p>
      <w:pPr>
        <w:numPr>
          <w:ilvl w:val="0"/>
          <w:numId w:val="1005"/>
        </w:numPr>
        <w:pStyle w:val="Compact"/>
      </w:pPr>
      <w:r>
        <w:t xml:space="preserve">Create a secure and transparent investment process for property shares</w:t>
      </w:r>
    </w:p>
    <w:p>
      <w:pPr>
        <w:numPr>
          <w:ilvl w:val="0"/>
          <w:numId w:val="1005"/>
        </w:numPr>
        <w:pStyle w:val="Compact"/>
      </w:pPr>
      <w:r>
        <w:t xml:space="preserve">Implement reliable payment processing and funding verification</w:t>
      </w:r>
    </w:p>
    <w:p>
      <w:pPr>
        <w:numPr>
          <w:ilvl w:val="0"/>
          <w:numId w:val="1005"/>
        </w:numPr>
        <w:pStyle w:val="Compact"/>
      </w:pPr>
      <w:r>
        <w:t xml:space="preserve">Establish accurate ownership recording and management</w:t>
      </w:r>
    </w:p>
    <w:p>
      <w:pPr>
        <w:numPr>
          <w:ilvl w:val="0"/>
          <w:numId w:val="1005"/>
        </w:numPr>
        <w:pStyle w:val="Compact"/>
      </w:pPr>
      <w:r>
        <w:t xml:space="preserve">Provide automated dividend calculation and distribution</w:t>
      </w:r>
    </w:p>
    <w:p>
      <w:pPr>
        <w:numPr>
          <w:ilvl w:val="0"/>
          <w:numId w:val="1005"/>
        </w:numPr>
        <w:pStyle w:val="Compact"/>
      </w:pPr>
      <w:r>
        <w:t xml:space="preserve">Create comprehensive investment tracking and reporting</w:t>
      </w:r>
    </w:p>
    <w:p>
      <w:pPr>
        <w:numPr>
          <w:ilvl w:val="0"/>
          <w:numId w:val="1005"/>
        </w:numPr>
        <w:pStyle w:val="Compact"/>
      </w:pPr>
      <w:r>
        <w:t xml:space="preserve">Ensure compliance with financial regulations for property investments</w:t>
      </w:r>
    </w:p>
    <w:bookmarkEnd w:id="30"/>
    <w:bookmarkStart w:id="31" w:name="success-criteria"/>
    <w:p>
      <w:pPr>
        <w:pStyle w:val="Heading3"/>
      </w:pPr>
      <w:r>
        <w:t xml:space="preserve">3.2 Success Criteria</w:t>
      </w:r>
    </w:p>
    <w:p>
      <w:pPr>
        <w:numPr>
          <w:ilvl w:val="0"/>
          <w:numId w:val="1006"/>
        </w:numPr>
        <w:pStyle w:val="Compact"/>
      </w:pPr>
      <w:r>
        <w:t xml:space="preserve">100% accuracy in investment processing and ownership recording</w:t>
      </w:r>
    </w:p>
    <w:p>
      <w:pPr>
        <w:numPr>
          <w:ilvl w:val="0"/>
          <w:numId w:val="1006"/>
        </w:numPr>
        <w:pStyle w:val="Compact"/>
      </w:pPr>
      <w:r>
        <w:t xml:space="preserve">Dividend distribution processed within 24 hours of scheduled date</w:t>
      </w:r>
    </w:p>
    <w:p>
      <w:pPr>
        <w:numPr>
          <w:ilvl w:val="0"/>
          <w:numId w:val="1006"/>
        </w:numPr>
        <w:pStyle w:val="Compact"/>
      </w:pPr>
      <w:r>
        <w:t xml:space="preserve">Complete audit trail for all investment transactions</w:t>
      </w:r>
    </w:p>
    <w:p>
      <w:pPr>
        <w:numPr>
          <w:ilvl w:val="0"/>
          <w:numId w:val="1006"/>
        </w:numPr>
        <w:pStyle w:val="Compact"/>
      </w:pPr>
      <w:r>
        <w:t xml:space="preserve">Real-time investment tracking for both investors and issuers</w:t>
      </w:r>
    </w:p>
    <w:p>
      <w:pPr>
        <w:numPr>
          <w:ilvl w:val="0"/>
          <w:numId w:val="1006"/>
        </w:numPr>
        <w:pStyle w:val="Compact"/>
      </w:pPr>
      <w:r>
        <w:t xml:space="preserve">Processing of at least 1,000 concurrent investment transactions</w:t>
      </w:r>
    </w:p>
    <w:bookmarkEnd w:id="31"/>
    <w:bookmarkEnd w:id="32"/>
    <w:bookmarkStart w:id="46" w:name="business-requirements"/>
    <w:p>
      <w:pPr>
        <w:pStyle w:val="Heading2"/>
      </w:pPr>
      <w:r>
        <w:t xml:space="preserve">4. Business Requirements</w:t>
      </w:r>
    </w:p>
    <w:bookmarkStart w:id="36" w:name="investment-flow-requirements"/>
    <w:p>
      <w:pPr>
        <w:pStyle w:val="Heading3"/>
      </w:pPr>
      <w:r>
        <w:t xml:space="preserve">4.1 Investment Flow Requirements</w:t>
      </w:r>
    </w:p>
    <w:bookmarkStart w:id="33" w:name="investment-selection"/>
    <w:p>
      <w:pPr>
        <w:pStyle w:val="Heading4"/>
      </w:pPr>
      <w:r>
        <w:t xml:space="preserve">4.1.1 Investment Selection</w:t>
      </w:r>
    </w:p>
    <w:p>
      <w:pPr>
        <w:numPr>
          <w:ilvl w:val="0"/>
          <w:numId w:val="1007"/>
        </w:numPr>
        <w:pStyle w:val="Compact"/>
      </w:pPr>
      <w:r>
        <w:rPr>
          <w:bCs/>
          <w:b/>
        </w:rPr>
        <w:t xml:space="preserve">Offering Selection</w:t>
      </w:r>
    </w:p>
    <w:p>
      <w:pPr>
        <w:numPr>
          <w:ilvl w:val="1"/>
          <w:numId w:val="1008"/>
        </w:numPr>
        <w:pStyle w:val="Compact"/>
      </w:pPr>
      <w:r>
        <w:t xml:space="preserve">Browse available property offerings</w:t>
      </w:r>
    </w:p>
    <w:p>
      <w:pPr>
        <w:numPr>
          <w:ilvl w:val="1"/>
          <w:numId w:val="1008"/>
        </w:numPr>
        <w:pStyle w:val="Compact"/>
      </w:pPr>
      <w:r>
        <w:t xml:space="preserve">View offering details and documents</w:t>
      </w:r>
    </w:p>
    <w:p>
      <w:pPr>
        <w:numPr>
          <w:ilvl w:val="1"/>
          <w:numId w:val="1008"/>
        </w:numPr>
        <w:pStyle w:val="Compact"/>
      </w:pPr>
      <w:r>
        <w:t xml:space="preserve">Compare multiple investment opportunities</w:t>
      </w:r>
    </w:p>
    <w:p>
      <w:pPr>
        <w:numPr>
          <w:ilvl w:val="1"/>
          <w:numId w:val="1008"/>
        </w:numPr>
        <w:pStyle w:val="Compact"/>
      </w:pPr>
      <w:r>
        <w:t xml:space="preserve">Save potential investments for later</w:t>
      </w:r>
    </w:p>
    <w:p>
      <w:pPr>
        <w:numPr>
          <w:ilvl w:val="0"/>
          <w:numId w:val="1007"/>
        </w:numPr>
        <w:pStyle w:val="Compact"/>
      </w:pPr>
      <w:r>
        <w:rPr>
          <w:bCs/>
          <w:b/>
        </w:rPr>
        <w:t xml:space="preserve">Investment Research Tools</w:t>
      </w:r>
    </w:p>
    <w:p>
      <w:pPr>
        <w:numPr>
          <w:ilvl w:val="1"/>
          <w:numId w:val="1009"/>
        </w:numPr>
        <w:pStyle w:val="Compact"/>
      </w:pPr>
      <w:r>
        <w:t xml:space="preserve">Interactive financial projections</w:t>
      </w:r>
    </w:p>
    <w:p>
      <w:pPr>
        <w:numPr>
          <w:ilvl w:val="1"/>
          <w:numId w:val="1009"/>
        </w:numPr>
        <w:pStyle w:val="Compact"/>
      </w:pPr>
      <w:r>
        <w:t xml:space="preserve">Investment calculator</w:t>
      </w:r>
    </w:p>
    <w:p>
      <w:pPr>
        <w:numPr>
          <w:ilvl w:val="1"/>
          <w:numId w:val="1009"/>
        </w:numPr>
        <w:pStyle w:val="Compact"/>
      </w:pPr>
      <w:r>
        <w:t xml:space="preserve">Risk assessment tools</w:t>
      </w:r>
    </w:p>
    <w:p>
      <w:pPr>
        <w:numPr>
          <w:ilvl w:val="1"/>
          <w:numId w:val="1009"/>
        </w:numPr>
        <w:pStyle w:val="Compact"/>
      </w:pPr>
      <w:r>
        <w:t xml:space="preserve">Historical performance of similar investments</w:t>
      </w:r>
    </w:p>
    <w:p>
      <w:pPr>
        <w:numPr>
          <w:ilvl w:val="1"/>
          <w:numId w:val="1009"/>
        </w:numPr>
        <w:pStyle w:val="Compact"/>
      </w:pPr>
      <w:r>
        <w:t xml:space="preserve">Neighborhood analytics</w:t>
      </w:r>
    </w:p>
    <w:p>
      <w:pPr>
        <w:numPr>
          <w:ilvl w:val="0"/>
          <w:numId w:val="1007"/>
        </w:numPr>
        <w:pStyle w:val="Compact"/>
      </w:pPr>
      <w:r>
        <w:rPr>
          <w:bCs/>
          <w:b/>
        </w:rPr>
        <w:t xml:space="preserve">Investment Eligibility</w:t>
      </w:r>
    </w:p>
    <w:p>
      <w:pPr>
        <w:numPr>
          <w:ilvl w:val="1"/>
          <w:numId w:val="1010"/>
        </w:numPr>
        <w:pStyle w:val="Compact"/>
      </w:pPr>
      <w:r>
        <w:t xml:space="preserve">Verification of investor eligibility</w:t>
      </w:r>
    </w:p>
    <w:p>
      <w:pPr>
        <w:numPr>
          <w:ilvl w:val="1"/>
          <w:numId w:val="1010"/>
        </w:numPr>
        <w:pStyle w:val="Compact"/>
      </w:pPr>
      <w:r>
        <w:t xml:space="preserve">Jurisdiction-based restrictions</w:t>
      </w:r>
    </w:p>
    <w:p>
      <w:pPr>
        <w:numPr>
          <w:ilvl w:val="1"/>
          <w:numId w:val="1010"/>
        </w:numPr>
        <w:pStyle w:val="Compact"/>
      </w:pPr>
      <w:r>
        <w:t xml:space="preserve">Accreditation status checks</w:t>
      </w:r>
    </w:p>
    <w:p>
      <w:pPr>
        <w:numPr>
          <w:ilvl w:val="1"/>
          <w:numId w:val="1010"/>
        </w:numPr>
        <w:pStyle w:val="Compact"/>
      </w:pPr>
      <w:r>
        <w:t xml:space="preserve">Investment limits enforcement</w:t>
      </w:r>
    </w:p>
    <w:p>
      <w:pPr>
        <w:numPr>
          <w:ilvl w:val="1"/>
          <w:numId w:val="1010"/>
        </w:numPr>
        <w:pStyle w:val="Compact"/>
      </w:pPr>
      <w:r>
        <w:t xml:space="preserve">Suitability assessment</w:t>
      </w:r>
    </w:p>
    <w:bookmarkEnd w:id="33"/>
    <w:bookmarkStart w:id="34" w:name="investment-transaction"/>
    <w:p>
      <w:pPr>
        <w:pStyle w:val="Heading4"/>
      </w:pPr>
      <w:r>
        <w:t xml:space="preserve">4.1.2 Investment Transaction</w:t>
      </w:r>
    </w:p>
    <w:p>
      <w:pPr>
        <w:numPr>
          <w:ilvl w:val="0"/>
          <w:numId w:val="1011"/>
        </w:numPr>
        <w:pStyle w:val="Compact"/>
      </w:pPr>
      <w:r>
        <w:rPr>
          <w:bCs/>
          <w:b/>
        </w:rPr>
        <w:t xml:space="preserve">Investment Amount</w:t>
      </w:r>
    </w:p>
    <w:p>
      <w:pPr>
        <w:numPr>
          <w:ilvl w:val="1"/>
          <w:numId w:val="1012"/>
        </w:numPr>
        <w:pStyle w:val="Compact"/>
      </w:pPr>
      <w:r>
        <w:t xml:space="preserve">Minimum investment amount enforcement</w:t>
      </w:r>
    </w:p>
    <w:p>
      <w:pPr>
        <w:numPr>
          <w:ilvl w:val="1"/>
          <w:numId w:val="1012"/>
        </w:numPr>
        <w:pStyle w:val="Compact"/>
      </w:pPr>
      <w:r>
        <w:t xml:space="preserve">Maximum investment amount limits</w:t>
      </w:r>
    </w:p>
    <w:p>
      <w:pPr>
        <w:numPr>
          <w:ilvl w:val="1"/>
          <w:numId w:val="1012"/>
        </w:numPr>
        <w:pStyle w:val="Compact"/>
      </w:pPr>
      <w:r>
        <w:t xml:space="preserve">Incremental investment amounts</w:t>
      </w:r>
    </w:p>
    <w:p>
      <w:pPr>
        <w:numPr>
          <w:ilvl w:val="1"/>
          <w:numId w:val="1012"/>
        </w:numPr>
        <w:pStyle w:val="Compact"/>
      </w:pPr>
      <w:r>
        <w:t xml:space="preserve">Share/token quantity calculation</w:t>
      </w:r>
    </w:p>
    <w:p>
      <w:pPr>
        <w:numPr>
          <w:ilvl w:val="1"/>
          <w:numId w:val="1012"/>
        </w:numPr>
        <w:pStyle w:val="Compact"/>
      </w:pPr>
      <w:r>
        <w:t xml:space="preserve">Total investment cost calculation (including fees)</w:t>
      </w:r>
    </w:p>
    <w:p>
      <w:pPr>
        <w:numPr>
          <w:ilvl w:val="0"/>
          <w:numId w:val="1011"/>
        </w:numPr>
        <w:pStyle w:val="Compact"/>
      </w:pPr>
      <w:r>
        <w:rPr>
          <w:bCs/>
          <w:b/>
        </w:rPr>
        <w:t xml:space="preserve">Investment Reservation</w:t>
      </w:r>
    </w:p>
    <w:p>
      <w:pPr>
        <w:numPr>
          <w:ilvl w:val="1"/>
          <w:numId w:val="1013"/>
        </w:numPr>
        <w:pStyle w:val="Compact"/>
      </w:pPr>
      <w:r>
        <w:t xml:space="preserve">Temporary reservation of shares/tokens</w:t>
      </w:r>
    </w:p>
    <w:p>
      <w:pPr>
        <w:numPr>
          <w:ilvl w:val="1"/>
          <w:numId w:val="1013"/>
        </w:numPr>
        <w:pStyle w:val="Compact"/>
      </w:pPr>
      <w:r>
        <w:t xml:space="preserve">Reservation expiration timer</w:t>
      </w:r>
    </w:p>
    <w:p>
      <w:pPr>
        <w:numPr>
          <w:ilvl w:val="1"/>
          <w:numId w:val="1013"/>
        </w:numPr>
        <w:pStyle w:val="Compact"/>
      </w:pPr>
      <w:r>
        <w:t xml:space="preserve">Queue management for high-demand offerings</w:t>
      </w:r>
    </w:p>
    <w:p>
      <w:pPr>
        <w:numPr>
          <w:ilvl w:val="1"/>
          <w:numId w:val="1013"/>
        </w:numPr>
        <w:pStyle w:val="Compact"/>
      </w:pPr>
      <w:r>
        <w:t xml:space="preserve">Reservation confirmation</w:t>
      </w:r>
    </w:p>
    <w:p>
      <w:pPr>
        <w:numPr>
          <w:ilvl w:val="0"/>
          <w:numId w:val="1011"/>
        </w:numPr>
        <w:pStyle w:val="Compact"/>
      </w:pPr>
      <w:r>
        <w:rPr>
          <w:bCs/>
          <w:b/>
        </w:rPr>
        <w:t xml:space="preserve">Investment Checkout</w:t>
      </w:r>
    </w:p>
    <w:p>
      <w:pPr>
        <w:numPr>
          <w:ilvl w:val="1"/>
          <w:numId w:val="1014"/>
        </w:numPr>
        <w:pStyle w:val="Compact"/>
      </w:pPr>
      <w:r>
        <w:t xml:space="preserve">Investment summary</w:t>
      </w:r>
    </w:p>
    <w:p>
      <w:pPr>
        <w:numPr>
          <w:ilvl w:val="1"/>
          <w:numId w:val="1014"/>
        </w:numPr>
        <w:pStyle w:val="Compact"/>
      </w:pPr>
      <w:r>
        <w:t xml:space="preserve">Fee disclosure</w:t>
      </w:r>
    </w:p>
    <w:p>
      <w:pPr>
        <w:numPr>
          <w:ilvl w:val="1"/>
          <w:numId w:val="1014"/>
        </w:numPr>
        <w:pStyle w:val="Compact"/>
      </w:pPr>
      <w:r>
        <w:t xml:space="preserve">Terms acceptance</w:t>
      </w:r>
    </w:p>
    <w:p>
      <w:pPr>
        <w:numPr>
          <w:ilvl w:val="1"/>
          <w:numId w:val="1014"/>
        </w:numPr>
        <w:pStyle w:val="Compact"/>
      </w:pPr>
      <w:r>
        <w:t xml:space="preserve">Subscription agreement execution</w:t>
      </w:r>
    </w:p>
    <w:p>
      <w:pPr>
        <w:numPr>
          <w:ilvl w:val="1"/>
          <w:numId w:val="1014"/>
        </w:numPr>
        <w:pStyle w:val="Compact"/>
      </w:pPr>
      <w:r>
        <w:t xml:space="preserve">Digital signature of legal documents</w:t>
      </w:r>
    </w:p>
    <w:bookmarkEnd w:id="34"/>
    <w:bookmarkStart w:id="35" w:name="payment-processing"/>
    <w:p>
      <w:pPr>
        <w:pStyle w:val="Heading4"/>
      </w:pPr>
      <w:r>
        <w:t xml:space="preserve">4.1.3 Payment Processing</w:t>
      </w:r>
    </w:p>
    <w:p>
      <w:pPr>
        <w:numPr>
          <w:ilvl w:val="0"/>
          <w:numId w:val="1015"/>
        </w:numPr>
        <w:pStyle w:val="Compact"/>
      </w:pPr>
      <w:r>
        <w:rPr>
          <w:bCs/>
          <w:b/>
        </w:rPr>
        <w:t xml:space="preserve">Payment Methods</w:t>
      </w:r>
    </w:p>
    <w:p>
      <w:pPr>
        <w:numPr>
          <w:ilvl w:val="1"/>
          <w:numId w:val="1016"/>
        </w:numPr>
        <w:pStyle w:val="Compact"/>
      </w:pPr>
      <w:r>
        <w:t xml:space="preserve">Bank transfer / ACH</w:t>
      </w:r>
    </w:p>
    <w:p>
      <w:pPr>
        <w:numPr>
          <w:ilvl w:val="1"/>
          <w:numId w:val="1016"/>
        </w:numPr>
        <w:pStyle w:val="Compact"/>
      </w:pPr>
      <w:r>
        <w:t xml:space="preserve">Wire transfer</w:t>
      </w:r>
    </w:p>
    <w:p>
      <w:pPr>
        <w:numPr>
          <w:ilvl w:val="1"/>
          <w:numId w:val="1016"/>
        </w:numPr>
        <w:pStyle w:val="Compact"/>
      </w:pPr>
      <w:r>
        <w:t xml:space="preserve">Credit/debit card (where applicable)</w:t>
      </w:r>
    </w:p>
    <w:p>
      <w:pPr>
        <w:numPr>
          <w:ilvl w:val="1"/>
          <w:numId w:val="1016"/>
        </w:numPr>
        <w:pStyle w:val="Compact"/>
      </w:pPr>
      <w:r>
        <w:t xml:space="preserve">Digital wallet integration</w:t>
      </w:r>
    </w:p>
    <w:p>
      <w:pPr>
        <w:numPr>
          <w:ilvl w:val="1"/>
          <w:numId w:val="1016"/>
        </w:numPr>
        <w:pStyle w:val="Compact"/>
      </w:pPr>
      <w:r>
        <w:t xml:space="preserve">Recurring payment setup for multi-stage investments</w:t>
      </w:r>
    </w:p>
    <w:p>
      <w:pPr>
        <w:numPr>
          <w:ilvl w:val="0"/>
          <w:numId w:val="1015"/>
        </w:numPr>
        <w:pStyle w:val="Compact"/>
      </w:pPr>
      <w:r>
        <w:rPr>
          <w:bCs/>
          <w:b/>
        </w:rPr>
        <w:t xml:space="preserve">Payment Verification</w:t>
      </w:r>
    </w:p>
    <w:p>
      <w:pPr>
        <w:numPr>
          <w:ilvl w:val="1"/>
          <w:numId w:val="1017"/>
        </w:numPr>
        <w:pStyle w:val="Compact"/>
      </w:pPr>
      <w:r>
        <w:t xml:space="preserve">Payment confirmation</w:t>
      </w:r>
    </w:p>
    <w:p>
      <w:pPr>
        <w:numPr>
          <w:ilvl w:val="1"/>
          <w:numId w:val="1017"/>
        </w:numPr>
        <w:pStyle w:val="Compact"/>
      </w:pPr>
      <w:r>
        <w:t xml:space="preserve">Funds verification</w:t>
      </w:r>
    </w:p>
    <w:p>
      <w:pPr>
        <w:numPr>
          <w:ilvl w:val="1"/>
          <w:numId w:val="1017"/>
        </w:numPr>
        <w:pStyle w:val="Compact"/>
      </w:pPr>
      <w:r>
        <w:t xml:space="preserve">Failed payment handling</w:t>
      </w:r>
    </w:p>
    <w:p>
      <w:pPr>
        <w:numPr>
          <w:ilvl w:val="1"/>
          <w:numId w:val="1017"/>
        </w:numPr>
        <w:pStyle w:val="Compact"/>
      </w:pPr>
      <w:r>
        <w:t xml:space="preserve">Payment retry options</w:t>
      </w:r>
    </w:p>
    <w:p>
      <w:pPr>
        <w:numPr>
          <w:ilvl w:val="1"/>
          <w:numId w:val="1017"/>
        </w:numPr>
        <w:pStyle w:val="Compact"/>
      </w:pPr>
      <w:r>
        <w:t xml:space="preserve">Manual payment verification</w:t>
      </w:r>
    </w:p>
    <w:p>
      <w:pPr>
        <w:numPr>
          <w:ilvl w:val="0"/>
          <w:numId w:val="1015"/>
        </w:numPr>
        <w:pStyle w:val="Compact"/>
      </w:pPr>
      <w:r>
        <w:rPr>
          <w:bCs/>
          <w:b/>
        </w:rPr>
        <w:t xml:space="preserve">Escrow Management</w:t>
      </w:r>
    </w:p>
    <w:p>
      <w:pPr>
        <w:numPr>
          <w:ilvl w:val="1"/>
          <w:numId w:val="1018"/>
        </w:numPr>
        <w:pStyle w:val="Compact"/>
      </w:pPr>
      <w:r>
        <w:t xml:space="preserve">Escrow account integration</w:t>
      </w:r>
    </w:p>
    <w:p>
      <w:pPr>
        <w:numPr>
          <w:ilvl w:val="1"/>
          <w:numId w:val="1018"/>
        </w:numPr>
        <w:pStyle w:val="Compact"/>
      </w:pPr>
      <w:r>
        <w:t xml:space="preserve">Funds holding until offering fully funded</w:t>
      </w:r>
    </w:p>
    <w:p>
      <w:pPr>
        <w:numPr>
          <w:ilvl w:val="1"/>
          <w:numId w:val="1018"/>
        </w:numPr>
        <w:pStyle w:val="Compact"/>
      </w:pPr>
      <w:r>
        <w:t xml:space="preserve">Release conditions and triggers</w:t>
      </w:r>
    </w:p>
    <w:p>
      <w:pPr>
        <w:numPr>
          <w:ilvl w:val="1"/>
          <w:numId w:val="1018"/>
        </w:numPr>
        <w:pStyle w:val="Compact"/>
      </w:pPr>
      <w:r>
        <w:t xml:space="preserve">Escrow account reconciliation</w:t>
      </w:r>
    </w:p>
    <w:p>
      <w:pPr>
        <w:numPr>
          <w:ilvl w:val="1"/>
          <w:numId w:val="1018"/>
        </w:numPr>
        <w:pStyle w:val="Compact"/>
      </w:pPr>
      <w:r>
        <w:t xml:space="preserve">Refund processing for canceled offerings</w:t>
      </w:r>
    </w:p>
    <w:bookmarkEnd w:id="35"/>
    <w:bookmarkEnd w:id="36"/>
    <w:bookmarkStart w:id="39" w:name="ownership-recording-requirements"/>
    <w:p>
      <w:pPr>
        <w:pStyle w:val="Heading3"/>
      </w:pPr>
      <w:r>
        <w:t xml:space="preserve">4.2 Ownership Recording Requirements</w:t>
      </w:r>
    </w:p>
    <w:bookmarkStart w:id="37" w:name="share-allocation"/>
    <w:p>
      <w:pPr>
        <w:pStyle w:val="Heading4"/>
      </w:pPr>
      <w:r>
        <w:t xml:space="preserve">4.2.1 Share Allocation</w:t>
      </w:r>
    </w:p>
    <w:p>
      <w:pPr>
        <w:numPr>
          <w:ilvl w:val="0"/>
          <w:numId w:val="1019"/>
        </w:numPr>
        <w:pStyle w:val="Compact"/>
      </w:pPr>
      <w:r>
        <w:rPr>
          <w:bCs/>
          <w:b/>
        </w:rPr>
        <w:t xml:space="preserve">Share Recording</w:t>
      </w:r>
    </w:p>
    <w:p>
      <w:pPr>
        <w:numPr>
          <w:ilvl w:val="1"/>
          <w:numId w:val="1020"/>
        </w:numPr>
        <w:pStyle w:val="Compact"/>
      </w:pPr>
      <w:r>
        <w:t xml:space="preserve">Investor ownership registration</w:t>
      </w:r>
    </w:p>
    <w:p>
      <w:pPr>
        <w:numPr>
          <w:ilvl w:val="1"/>
          <w:numId w:val="1020"/>
        </w:numPr>
        <w:pStyle w:val="Compact"/>
      </w:pPr>
      <w:r>
        <w:t xml:space="preserve">Share/token issuance</w:t>
      </w:r>
    </w:p>
    <w:p>
      <w:pPr>
        <w:numPr>
          <w:ilvl w:val="1"/>
          <w:numId w:val="1020"/>
        </w:numPr>
        <w:pStyle w:val="Compact"/>
      </w:pPr>
      <w:r>
        <w:t xml:space="preserve">Ownership certificate generation</w:t>
      </w:r>
    </w:p>
    <w:p>
      <w:pPr>
        <w:numPr>
          <w:ilvl w:val="1"/>
          <w:numId w:val="1020"/>
        </w:numPr>
        <w:pStyle w:val="Compact"/>
      </w:pPr>
      <w:r>
        <w:t xml:space="preserve">Legal ownership documentation</w:t>
      </w:r>
    </w:p>
    <w:p>
      <w:pPr>
        <w:numPr>
          <w:ilvl w:val="1"/>
          <w:numId w:val="1020"/>
        </w:numPr>
        <w:pStyle w:val="Compact"/>
      </w:pPr>
      <w:r>
        <w:t xml:space="preserve">Beneficial ownership tracking</w:t>
      </w:r>
    </w:p>
    <w:p>
      <w:pPr>
        <w:numPr>
          <w:ilvl w:val="0"/>
          <w:numId w:val="1019"/>
        </w:numPr>
        <w:pStyle w:val="Compact"/>
      </w:pPr>
      <w:r>
        <w:rPr>
          <w:bCs/>
          <w:b/>
        </w:rPr>
        <w:t xml:space="preserve">Ownership Registry</w:t>
      </w:r>
    </w:p>
    <w:p>
      <w:pPr>
        <w:numPr>
          <w:ilvl w:val="1"/>
          <w:numId w:val="1021"/>
        </w:numPr>
        <w:pStyle w:val="Compact"/>
      </w:pPr>
      <w:r>
        <w:t xml:space="preserve">Central registry of all ownership records</w:t>
      </w:r>
    </w:p>
    <w:p>
      <w:pPr>
        <w:numPr>
          <w:ilvl w:val="1"/>
          <w:numId w:val="1021"/>
        </w:numPr>
        <w:pStyle w:val="Compact"/>
      </w:pPr>
      <w:r>
        <w:t xml:space="preserve">Historical ownership tracking</w:t>
      </w:r>
    </w:p>
    <w:p>
      <w:pPr>
        <w:numPr>
          <w:ilvl w:val="1"/>
          <w:numId w:val="1021"/>
        </w:numPr>
        <w:pStyle w:val="Compact"/>
      </w:pPr>
      <w:r>
        <w:t xml:space="preserve">Ownership percentage calculation</w:t>
      </w:r>
    </w:p>
    <w:p>
      <w:pPr>
        <w:numPr>
          <w:ilvl w:val="1"/>
          <w:numId w:val="1021"/>
        </w:numPr>
        <w:pStyle w:val="Compact"/>
      </w:pPr>
      <w:r>
        <w:t xml:space="preserve">Transfer restrictions enforcement</w:t>
      </w:r>
    </w:p>
    <w:p>
      <w:pPr>
        <w:numPr>
          <w:ilvl w:val="1"/>
          <w:numId w:val="1021"/>
        </w:numPr>
        <w:pStyle w:val="Compact"/>
      </w:pPr>
      <w:r>
        <w:t xml:space="preserve">Lien and encumbrance recording</w:t>
      </w:r>
    </w:p>
    <w:p>
      <w:pPr>
        <w:numPr>
          <w:ilvl w:val="0"/>
          <w:numId w:val="1019"/>
        </w:numPr>
        <w:pStyle w:val="Compact"/>
      </w:pPr>
      <w:r>
        <w:rPr>
          <w:bCs/>
          <w:b/>
        </w:rPr>
        <w:t xml:space="preserve">Share Structure Management</w:t>
      </w:r>
    </w:p>
    <w:p>
      <w:pPr>
        <w:numPr>
          <w:ilvl w:val="1"/>
          <w:numId w:val="1022"/>
        </w:numPr>
        <w:pStyle w:val="Compact"/>
      </w:pPr>
      <w:r>
        <w:t xml:space="preserve">Share classes and rights</w:t>
      </w:r>
    </w:p>
    <w:p>
      <w:pPr>
        <w:numPr>
          <w:ilvl w:val="1"/>
          <w:numId w:val="1022"/>
        </w:numPr>
        <w:pStyle w:val="Compact"/>
      </w:pPr>
      <w:r>
        <w:t xml:space="preserve">Voting rights allocation</w:t>
      </w:r>
    </w:p>
    <w:p>
      <w:pPr>
        <w:numPr>
          <w:ilvl w:val="1"/>
          <w:numId w:val="1022"/>
        </w:numPr>
        <w:pStyle w:val="Compact"/>
      </w:pPr>
      <w:r>
        <w:t xml:space="preserve">Distribution preferences</w:t>
      </w:r>
    </w:p>
    <w:p>
      <w:pPr>
        <w:numPr>
          <w:ilvl w:val="1"/>
          <w:numId w:val="1022"/>
        </w:numPr>
        <w:pStyle w:val="Compact"/>
      </w:pPr>
      <w:r>
        <w:t xml:space="preserve">Liquidation preferences</w:t>
      </w:r>
    </w:p>
    <w:p>
      <w:pPr>
        <w:numPr>
          <w:ilvl w:val="1"/>
          <w:numId w:val="1022"/>
        </w:numPr>
        <w:pStyle w:val="Compact"/>
      </w:pPr>
      <w:r>
        <w:t xml:space="preserve">Ownership caps enforcement</w:t>
      </w:r>
    </w:p>
    <w:bookmarkEnd w:id="37"/>
    <w:bookmarkStart w:id="38" w:name="investment-confirmation"/>
    <w:p>
      <w:pPr>
        <w:pStyle w:val="Heading4"/>
      </w:pPr>
      <w:r>
        <w:t xml:space="preserve">4.2.2 Investment Confirmation</w:t>
      </w:r>
    </w:p>
    <w:p>
      <w:pPr>
        <w:numPr>
          <w:ilvl w:val="0"/>
          <w:numId w:val="1023"/>
        </w:numPr>
        <w:pStyle w:val="Compact"/>
      </w:pPr>
      <w:r>
        <w:rPr>
          <w:bCs/>
          <w:b/>
        </w:rPr>
        <w:t xml:space="preserve">Confirmation Notices</w:t>
      </w:r>
    </w:p>
    <w:p>
      <w:pPr>
        <w:numPr>
          <w:ilvl w:val="1"/>
          <w:numId w:val="1024"/>
        </w:numPr>
        <w:pStyle w:val="Compact"/>
      </w:pPr>
      <w:r>
        <w:t xml:space="preserve">Investment confirmation generation</w:t>
      </w:r>
    </w:p>
    <w:p>
      <w:pPr>
        <w:numPr>
          <w:ilvl w:val="1"/>
          <w:numId w:val="1024"/>
        </w:numPr>
        <w:pStyle w:val="Compact"/>
      </w:pPr>
      <w:r>
        <w:t xml:space="preserve">Share certificate delivery</w:t>
      </w:r>
    </w:p>
    <w:p>
      <w:pPr>
        <w:numPr>
          <w:ilvl w:val="1"/>
          <w:numId w:val="1024"/>
        </w:numPr>
        <w:pStyle w:val="Compact"/>
      </w:pPr>
      <w:r>
        <w:t xml:space="preserve">Welcome package for new investors</w:t>
      </w:r>
    </w:p>
    <w:p>
      <w:pPr>
        <w:numPr>
          <w:ilvl w:val="1"/>
          <w:numId w:val="1024"/>
        </w:numPr>
        <w:pStyle w:val="Compact"/>
      </w:pPr>
      <w:r>
        <w:t xml:space="preserve">Ownership verification tools</w:t>
      </w:r>
    </w:p>
    <w:p>
      <w:pPr>
        <w:numPr>
          <w:ilvl w:val="1"/>
          <w:numId w:val="1024"/>
        </w:numPr>
        <w:pStyle w:val="Compact"/>
      </w:pPr>
      <w:r>
        <w:t xml:space="preserve">Investment receipt for tax purposes</w:t>
      </w:r>
    </w:p>
    <w:p>
      <w:pPr>
        <w:numPr>
          <w:ilvl w:val="0"/>
          <w:numId w:val="1023"/>
        </w:numPr>
        <w:pStyle w:val="Compact"/>
      </w:pPr>
      <w:r>
        <w:rPr>
          <w:bCs/>
          <w:b/>
        </w:rPr>
        <w:t xml:space="preserve">Investment Status</w:t>
      </w:r>
    </w:p>
    <w:p>
      <w:pPr>
        <w:numPr>
          <w:ilvl w:val="1"/>
          <w:numId w:val="1025"/>
        </w:numPr>
        <w:pStyle w:val="Compact"/>
      </w:pPr>
      <w:r>
        <w:t xml:space="preserve">Pending investments</w:t>
      </w:r>
    </w:p>
    <w:p>
      <w:pPr>
        <w:numPr>
          <w:ilvl w:val="1"/>
          <w:numId w:val="1025"/>
        </w:numPr>
        <w:pStyle w:val="Compact"/>
      </w:pPr>
      <w:r>
        <w:t xml:space="preserve">Active investments</w:t>
      </w:r>
    </w:p>
    <w:p>
      <w:pPr>
        <w:numPr>
          <w:ilvl w:val="1"/>
          <w:numId w:val="1025"/>
        </w:numPr>
        <w:pStyle w:val="Compact"/>
      </w:pPr>
      <w:r>
        <w:t xml:space="preserve">Closed investments</w:t>
      </w:r>
    </w:p>
    <w:p>
      <w:pPr>
        <w:numPr>
          <w:ilvl w:val="1"/>
          <w:numId w:val="1025"/>
        </w:numPr>
        <w:pStyle w:val="Compact"/>
      </w:pPr>
      <w:r>
        <w:t xml:space="preserve">Canceled investments</w:t>
      </w:r>
    </w:p>
    <w:p>
      <w:pPr>
        <w:numPr>
          <w:ilvl w:val="1"/>
          <w:numId w:val="1025"/>
        </w:numPr>
        <w:pStyle w:val="Compact"/>
      </w:pPr>
      <w:r>
        <w:t xml:space="preserve">Transferred investments</w:t>
      </w:r>
    </w:p>
    <w:bookmarkEnd w:id="38"/>
    <w:bookmarkEnd w:id="39"/>
    <w:bookmarkStart w:id="42" w:name="dividend-management-requirements"/>
    <w:p>
      <w:pPr>
        <w:pStyle w:val="Heading3"/>
      </w:pPr>
      <w:r>
        <w:t xml:space="preserve">4.3 Dividend Management Requirements</w:t>
      </w:r>
    </w:p>
    <w:bookmarkStart w:id="40" w:name="dividend-calculation"/>
    <w:p>
      <w:pPr>
        <w:pStyle w:val="Heading4"/>
      </w:pPr>
      <w:r>
        <w:t xml:space="preserve">4.3.1 Dividend Calculation</w:t>
      </w:r>
    </w:p>
    <w:p>
      <w:pPr>
        <w:numPr>
          <w:ilvl w:val="0"/>
          <w:numId w:val="1026"/>
        </w:numPr>
        <w:pStyle w:val="Compact"/>
      </w:pPr>
      <w:r>
        <w:rPr>
          <w:bCs/>
          <w:b/>
        </w:rPr>
        <w:t xml:space="preserve">Dividend Determination</w:t>
      </w:r>
    </w:p>
    <w:p>
      <w:pPr>
        <w:numPr>
          <w:ilvl w:val="1"/>
          <w:numId w:val="1027"/>
        </w:numPr>
        <w:pStyle w:val="Compact"/>
      </w:pPr>
      <w:r>
        <w:t xml:space="preserve">Rental income tracking</w:t>
      </w:r>
    </w:p>
    <w:p>
      <w:pPr>
        <w:numPr>
          <w:ilvl w:val="1"/>
          <w:numId w:val="1027"/>
        </w:numPr>
        <w:pStyle w:val="Compact"/>
      </w:pPr>
      <w:r>
        <w:t xml:space="preserve">Expense deduction</w:t>
      </w:r>
    </w:p>
    <w:p>
      <w:pPr>
        <w:numPr>
          <w:ilvl w:val="1"/>
          <w:numId w:val="1027"/>
        </w:numPr>
        <w:pStyle w:val="Compact"/>
      </w:pPr>
      <w:r>
        <w:t xml:space="preserve">Net income calculation</w:t>
      </w:r>
    </w:p>
    <w:p>
      <w:pPr>
        <w:numPr>
          <w:ilvl w:val="1"/>
          <w:numId w:val="1027"/>
        </w:numPr>
        <w:pStyle w:val="Compact"/>
      </w:pPr>
      <w:r>
        <w:t xml:space="preserve">Distribution amount calculation</w:t>
      </w:r>
    </w:p>
    <w:p>
      <w:pPr>
        <w:numPr>
          <w:ilvl w:val="1"/>
          <w:numId w:val="1027"/>
        </w:numPr>
        <w:pStyle w:val="Compact"/>
      </w:pPr>
      <w:r>
        <w:t xml:space="preserve">Reserve allocations</w:t>
      </w:r>
    </w:p>
    <w:p>
      <w:pPr>
        <w:numPr>
          <w:ilvl w:val="1"/>
          <w:numId w:val="1027"/>
        </w:numPr>
        <w:pStyle w:val="Compact"/>
      </w:pPr>
      <w:r>
        <w:t xml:space="preserve">Special distributions</w:t>
      </w:r>
    </w:p>
    <w:p>
      <w:pPr>
        <w:numPr>
          <w:ilvl w:val="0"/>
          <w:numId w:val="1026"/>
        </w:numPr>
        <w:pStyle w:val="Compact"/>
      </w:pPr>
      <w:r>
        <w:rPr>
          <w:bCs/>
          <w:b/>
        </w:rPr>
        <w:t xml:space="preserve">Distribution Schedule</w:t>
      </w:r>
    </w:p>
    <w:p>
      <w:pPr>
        <w:numPr>
          <w:ilvl w:val="1"/>
          <w:numId w:val="1028"/>
        </w:numPr>
        <w:pStyle w:val="Compact"/>
      </w:pPr>
      <w:r>
        <w:t xml:space="preserve">Distribution frequency setup (monthly, quarterly, etc.)</w:t>
      </w:r>
    </w:p>
    <w:p>
      <w:pPr>
        <w:numPr>
          <w:ilvl w:val="1"/>
          <w:numId w:val="1028"/>
        </w:numPr>
        <w:pStyle w:val="Compact"/>
      </w:pPr>
      <w:r>
        <w:t xml:space="preserve">Distribution calendar management</w:t>
      </w:r>
    </w:p>
    <w:p>
      <w:pPr>
        <w:numPr>
          <w:ilvl w:val="1"/>
          <w:numId w:val="1028"/>
        </w:numPr>
        <w:pStyle w:val="Compact"/>
      </w:pPr>
      <w:r>
        <w:t xml:space="preserve">Distribution announcement</w:t>
      </w:r>
    </w:p>
    <w:p>
      <w:pPr>
        <w:numPr>
          <w:ilvl w:val="1"/>
          <w:numId w:val="1028"/>
        </w:numPr>
        <w:pStyle w:val="Compact"/>
      </w:pPr>
      <w:r>
        <w:t xml:space="preserve">Record date determination</w:t>
      </w:r>
    </w:p>
    <w:p>
      <w:pPr>
        <w:numPr>
          <w:ilvl w:val="1"/>
          <w:numId w:val="1028"/>
        </w:numPr>
        <w:pStyle w:val="Compact"/>
      </w:pPr>
      <w:r>
        <w:t xml:space="preserve">Payment date scheduling</w:t>
      </w:r>
    </w:p>
    <w:p>
      <w:pPr>
        <w:numPr>
          <w:ilvl w:val="0"/>
          <w:numId w:val="1026"/>
        </w:numPr>
        <w:pStyle w:val="Compact"/>
      </w:pPr>
      <w:r>
        <w:rPr>
          <w:bCs/>
          <w:b/>
        </w:rPr>
        <w:t xml:space="preserve">Dividend Types</w:t>
      </w:r>
    </w:p>
    <w:p>
      <w:pPr>
        <w:numPr>
          <w:ilvl w:val="1"/>
          <w:numId w:val="1029"/>
        </w:numPr>
        <w:pStyle w:val="Compact"/>
      </w:pPr>
      <w:r>
        <w:t xml:space="preserve">Regular cash dividends</w:t>
      </w:r>
    </w:p>
    <w:p>
      <w:pPr>
        <w:numPr>
          <w:ilvl w:val="1"/>
          <w:numId w:val="1029"/>
        </w:numPr>
        <w:pStyle w:val="Compact"/>
      </w:pPr>
      <w:r>
        <w:t xml:space="preserve">Special dividends</w:t>
      </w:r>
    </w:p>
    <w:p>
      <w:pPr>
        <w:numPr>
          <w:ilvl w:val="1"/>
          <w:numId w:val="1029"/>
        </w:numPr>
        <w:pStyle w:val="Compact"/>
      </w:pPr>
      <w:r>
        <w:t xml:space="preserve">Return of capital</w:t>
      </w:r>
    </w:p>
    <w:p>
      <w:pPr>
        <w:numPr>
          <w:ilvl w:val="1"/>
          <w:numId w:val="1029"/>
        </w:numPr>
        <w:pStyle w:val="Compact"/>
      </w:pPr>
      <w:r>
        <w:t xml:space="preserve">Tax-advantaged distributions</w:t>
      </w:r>
    </w:p>
    <w:p>
      <w:pPr>
        <w:numPr>
          <w:ilvl w:val="1"/>
          <w:numId w:val="1029"/>
        </w:numPr>
        <w:pStyle w:val="Compact"/>
      </w:pPr>
      <w:r>
        <w:t xml:space="preserve">Reinvestment options</w:t>
      </w:r>
    </w:p>
    <w:bookmarkEnd w:id="40"/>
    <w:bookmarkStart w:id="41" w:name="dividend-processing"/>
    <w:p>
      <w:pPr>
        <w:pStyle w:val="Heading4"/>
      </w:pPr>
      <w:r>
        <w:t xml:space="preserve">4.3.2 Dividend Processing</w:t>
      </w:r>
    </w:p>
    <w:p>
      <w:pPr>
        <w:numPr>
          <w:ilvl w:val="0"/>
          <w:numId w:val="1030"/>
        </w:numPr>
        <w:pStyle w:val="Compact"/>
      </w:pPr>
      <w:r>
        <w:rPr>
          <w:bCs/>
          <w:b/>
        </w:rPr>
        <w:t xml:space="preserve">Dividend Allocation</w:t>
      </w:r>
    </w:p>
    <w:p>
      <w:pPr>
        <w:numPr>
          <w:ilvl w:val="1"/>
          <w:numId w:val="1031"/>
        </w:numPr>
        <w:pStyle w:val="Compact"/>
      </w:pPr>
      <w:r>
        <w:t xml:space="preserve">Per-share/token dividend calculation</w:t>
      </w:r>
    </w:p>
    <w:p>
      <w:pPr>
        <w:numPr>
          <w:ilvl w:val="1"/>
          <w:numId w:val="1031"/>
        </w:numPr>
        <w:pStyle w:val="Compact"/>
      </w:pPr>
      <w:r>
        <w:t xml:space="preserve">Investor-specific distribution amount</w:t>
      </w:r>
    </w:p>
    <w:p>
      <w:pPr>
        <w:numPr>
          <w:ilvl w:val="1"/>
          <w:numId w:val="1031"/>
        </w:numPr>
        <w:pStyle w:val="Compact"/>
      </w:pPr>
      <w:r>
        <w:t xml:space="preserve">Pro-rata calculations for partial periods</w:t>
      </w:r>
    </w:p>
    <w:p>
      <w:pPr>
        <w:numPr>
          <w:ilvl w:val="1"/>
          <w:numId w:val="1031"/>
        </w:numPr>
        <w:pStyle w:val="Compact"/>
      </w:pPr>
      <w:r>
        <w:t xml:space="preserve">Distribution priority enforcement</w:t>
      </w:r>
    </w:p>
    <w:p>
      <w:pPr>
        <w:numPr>
          <w:ilvl w:val="1"/>
          <w:numId w:val="1031"/>
        </w:numPr>
        <w:pStyle w:val="Compact"/>
      </w:pPr>
      <w:r>
        <w:t xml:space="preserve">Rounding rules</w:t>
      </w:r>
    </w:p>
    <w:p>
      <w:pPr>
        <w:numPr>
          <w:ilvl w:val="0"/>
          <w:numId w:val="1030"/>
        </w:numPr>
        <w:pStyle w:val="Compact"/>
      </w:pPr>
      <w:r>
        <w:rPr>
          <w:bCs/>
          <w:b/>
        </w:rPr>
        <w:t xml:space="preserve">Payment Processing</w:t>
      </w:r>
    </w:p>
    <w:p>
      <w:pPr>
        <w:numPr>
          <w:ilvl w:val="1"/>
          <w:numId w:val="1032"/>
        </w:numPr>
        <w:pStyle w:val="Compact"/>
      </w:pPr>
      <w:r>
        <w:t xml:space="preserve">Batch payment generation</w:t>
      </w:r>
    </w:p>
    <w:p>
      <w:pPr>
        <w:numPr>
          <w:ilvl w:val="1"/>
          <w:numId w:val="1032"/>
        </w:numPr>
        <w:pStyle w:val="Compact"/>
      </w:pPr>
      <w:r>
        <w:t xml:space="preserve">Payment method selection</w:t>
      </w:r>
    </w:p>
    <w:p>
      <w:pPr>
        <w:numPr>
          <w:ilvl w:val="1"/>
          <w:numId w:val="1032"/>
        </w:numPr>
        <w:pStyle w:val="Compact"/>
      </w:pPr>
      <w:r>
        <w:t xml:space="preserve">Direct deposit processing</w:t>
      </w:r>
    </w:p>
    <w:p>
      <w:pPr>
        <w:numPr>
          <w:ilvl w:val="1"/>
          <w:numId w:val="1032"/>
        </w:numPr>
        <w:pStyle w:val="Compact"/>
      </w:pPr>
      <w:r>
        <w:t xml:space="preserve">Check generation (if applicable)</w:t>
      </w:r>
    </w:p>
    <w:p>
      <w:pPr>
        <w:numPr>
          <w:ilvl w:val="1"/>
          <w:numId w:val="1032"/>
        </w:numPr>
        <w:pStyle w:val="Compact"/>
      </w:pPr>
      <w:r>
        <w:t xml:space="preserve">Wallet credit options</w:t>
      </w:r>
    </w:p>
    <w:p>
      <w:pPr>
        <w:numPr>
          <w:ilvl w:val="1"/>
          <w:numId w:val="1032"/>
        </w:numPr>
        <w:pStyle w:val="Compact"/>
      </w:pPr>
      <w:r>
        <w:t xml:space="preserve">Failed payment handling</w:t>
      </w:r>
    </w:p>
    <w:p>
      <w:pPr>
        <w:numPr>
          <w:ilvl w:val="0"/>
          <w:numId w:val="1030"/>
        </w:numPr>
        <w:pStyle w:val="Compact"/>
      </w:pPr>
      <w:r>
        <w:rPr>
          <w:bCs/>
          <w:b/>
        </w:rPr>
        <w:t xml:space="preserve">Distribution Reporting</w:t>
      </w:r>
    </w:p>
    <w:p>
      <w:pPr>
        <w:numPr>
          <w:ilvl w:val="1"/>
          <w:numId w:val="1033"/>
        </w:numPr>
        <w:pStyle w:val="Compact"/>
      </w:pPr>
      <w:r>
        <w:t xml:space="preserve">Distribution notices to investors</w:t>
      </w:r>
    </w:p>
    <w:p>
      <w:pPr>
        <w:numPr>
          <w:ilvl w:val="1"/>
          <w:numId w:val="1033"/>
        </w:numPr>
        <w:pStyle w:val="Compact"/>
      </w:pPr>
      <w:r>
        <w:t xml:space="preserve">Distribution summaries</w:t>
      </w:r>
    </w:p>
    <w:p>
      <w:pPr>
        <w:numPr>
          <w:ilvl w:val="1"/>
          <w:numId w:val="1033"/>
        </w:numPr>
        <w:pStyle w:val="Compact"/>
      </w:pPr>
      <w:r>
        <w:t xml:space="preserve">Year-to-date distribution tracking</w:t>
      </w:r>
    </w:p>
    <w:p>
      <w:pPr>
        <w:numPr>
          <w:ilvl w:val="1"/>
          <w:numId w:val="1033"/>
        </w:numPr>
        <w:pStyle w:val="Compact"/>
      </w:pPr>
      <w:r>
        <w:t xml:space="preserve">Tax classification of distributions</w:t>
      </w:r>
    </w:p>
    <w:p>
      <w:pPr>
        <w:numPr>
          <w:ilvl w:val="1"/>
          <w:numId w:val="1033"/>
        </w:numPr>
        <w:pStyle w:val="Compact"/>
      </w:pPr>
      <w:r>
        <w:t xml:space="preserve">Distribution history reports</w:t>
      </w:r>
    </w:p>
    <w:bookmarkEnd w:id="41"/>
    <w:bookmarkEnd w:id="42"/>
    <w:bookmarkStart w:id="45" w:name="investment-tracking-requirements"/>
    <w:p>
      <w:pPr>
        <w:pStyle w:val="Heading3"/>
      </w:pPr>
      <w:r>
        <w:t xml:space="preserve">4.4 Investment Tracking Requirements</w:t>
      </w:r>
    </w:p>
    <w:bookmarkStart w:id="43" w:name="portfolio-management"/>
    <w:p>
      <w:pPr>
        <w:pStyle w:val="Heading4"/>
      </w:pPr>
      <w:r>
        <w:t xml:space="preserve">4.4.1 Portfolio Management</w:t>
      </w:r>
    </w:p>
    <w:p>
      <w:pPr>
        <w:numPr>
          <w:ilvl w:val="0"/>
          <w:numId w:val="1034"/>
        </w:numPr>
        <w:pStyle w:val="Compact"/>
      </w:pPr>
      <w:r>
        <w:rPr>
          <w:bCs/>
          <w:b/>
        </w:rPr>
        <w:t xml:space="preserve">Investment Dashboard</w:t>
      </w:r>
    </w:p>
    <w:p>
      <w:pPr>
        <w:numPr>
          <w:ilvl w:val="1"/>
          <w:numId w:val="1035"/>
        </w:numPr>
        <w:pStyle w:val="Compact"/>
      </w:pPr>
      <w:r>
        <w:t xml:space="preserve">Portfolio overview</w:t>
      </w:r>
    </w:p>
    <w:p>
      <w:pPr>
        <w:numPr>
          <w:ilvl w:val="1"/>
          <w:numId w:val="1035"/>
        </w:numPr>
        <w:pStyle w:val="Compact"/>
      </w:pPr>
      <w:r>
        <w:t xml:space="preserve">Investment performance metrics</w:t>
      </w:r>
    </w:p>
    <w:p>
      <w:pPr>
        <w:numPr>
          <w:ilvl w:val="1"/>
          <w:numId w:val="1035"/>
        </w:numPr>
        <w:pStyle w:val="Compact"/>
      </w:pPr>
      <w:r>
        <w:t xml:space="preserve">Property valuation updates</w:t>
      </w:r>
    </w:p>
    <w:p>
      <w:pPr>
        <w:numPr>
          <w:ilvl w:val="1"/>
          <w:numId w:val="1035"/>
        </w:numPr>
        <w:pStyle w:val="Compact"/>
      </w:pPr>
      <w:r>
        <w:t xml:space="preserve">Dividend history and projections</w:t>
      </w:r>
    </w:p>
    <w:p>
      <w:pPr>
        <w:numPr>
          <w:ilvl w:val="1"/>
          <w:numId w:val="1035"/>
        </w:numPr>
        <w:pStyle w:val="Compact"/>
      </w:pPr>
      <w:r>
        <w:t xml:space="preserve">Document access</w:t>
      </w:r>
    </w:p>
    <w:p>
      <w:pPr>
        <w:numPr>
          <w:ilvl w:val="0"/>
          <w:numId w:val="1034"/>
        </w:numPr>
        <w:pStyle w:val="Compact"/>
      </w:pPr>
      <w:r>
        <w:rPr>
          <w:bCs/>
          <w:b/>
        </w:rPr>
        <w:t xml:space="preserve">Performance Tracking</w:t>
      </w:r>
    </w:p>
    <w:p>
      <w:pPr>
        <w:numPr>
          <w:ilvl w:val="1"/>
          <w:numId w:val="1036"/>
        </w:numPr>
        <w:pStyle w:val="Compact"/>
      </w:pPr>
      <w:r>
        <w:t xml:space="preserve">Total return calculation</w:t>
      </w:r>
    </w:p>
    <w:p>
      <w:pPr>
        <w:numPr>
          <w:ilvl w:val="1"/>
          <w:numId w:val="1036"/>
        </w:numPr>
        <w:pStyle w:val="Compact"/>
      </w:pPr>
      <w:r>
        <w:t xml:space="preserve">Cash-on-cash return</w:t>
      </w:r>
    </w:p>
    <w:p>
      <w:pPr>
        <w:numPr>
          <w:ilvl w:val="1"/>
          <w:numId w:val="1036"/>
        </w:numPr>
        <w:pStyle w:val="Compact"/>
      </w:pPr>
      <w:r>
        <w:t xml:space="preserve">IRR calculation</w:t>
      </w:r>
    </w:p>
    <w:p>
      <w:pPr>
        <w:numPr>
          <w:ilvl w:val="1"/>
          <w:numId w:val="1036"/>
        </w:numPr>
        <w:pStyle w:val="Compact"/>
      </w:pPr>
      <w:r>
        <w:t xml:space="preserve">Appreciation tracking</w:t>
      </w:r>
    </w:p>
    <w:p>
      <w:pPr>
        <w:numPr>
          <w:ilvl w:val="1"/>
          <w:numId w:val="1036"/>
        </w:numPr>
        <w:pStyle w:val="Compact"/>
      </w:pPr>
      <w:r>
        <w:t xml:space="preserve">Comparison to projections</w:t>
      </w:r>
    </w:p>
    <w:p>
      <w:pPr>
        <w:numPr>
          <w:ilvl w:val="1"/>
          <w:numId w:val="1036"/>
        </w:numPr>
        <w:pStyle w:val="Compact"/>
      </w:pPr>
      <w:r>
        <w:t xml:space="preserve">Benchmark comparisons</w:t>
      </w:r>
    </w:p>
    <w:p>
      <w:pPr>
        <w:numPr>
          <w:ilvl w:val="0"/>
          <w:numId w:val="1034"/>
        </w:numPr>
        <w:pStyle w:val="Compact"/>
      </w:pPr>
      <w:r>
        <w:rPr>
          <w:bCs/>
          <w:b/>
        </w:rPr>
        <w:t xml:space="preserve">Property Updates</w:t>
      </w:r>
    </w:p>
    <w:p>
      <w:pPr>
        <w:numPr>
          <w:ilvl w:val="1"/>
          <w:numId w:val="1037"/>
        </w:numPr>
        <w:pStyle w:val="Compact"/>
      </w:pPr>
      <w:r>
        <w:t xml:space="preserve">Property status updates</w:t>
      </w:r>
    </w:p>
    <w:p>
      <w:pPr>
        <w:numPr>
          <w:ilvl w:val="1"/>
          <w:numId w:val="1037"/>
        </w:numPr>
        <w:pStyle w:val="Compact"/>
      </w:pPr>
      <w:r>
        <w:t xml:space="preserve">Occupancy reports</w:t>
      </w:r>
    </w:p>
    <w:p>
      <w:pPr>
        <w:numPr>
          <w:ilvl w:val="1"/>
          <w:numId w:val="1037"/>
        </w:numPr>
        <w:pStyle w:val="Compact"/>
      </w:pPr>
      <w:r>
        <w:t xml:space="preserve">Maintenance and improvement updates</w:t>
      </w:r>
    </w:p>
    <w:p>
      <w:pPr>
        <w:numPr>
          <w:ilvl w:val="1"/>
          <w:numId w:val="1037"/>
        </w:numPr>
        <w:pStyle w:val="Compact"/>
      </w:pPr>
      <w:r>
        <w:t xml:space="preserve">Neighborhood development news</w:t>
      </w:r>
    </w:p>
    <w:p>
      <w:pPr>
        <w:numPr>
          <w:ilvl w:val="1"/>
          <w:numId w:val="1037"/>
        </w:numPr>
        <w:pStyle w:val="Compact"/>
      </w:pPr>
      <w:r>
        <w:t xml:space="preserve">Property manager communications</w:t>
      </w:r>
    </w:p>
    <w:bookmarkEnd w:id="43"/>
    <w:bookmarkStart w:id="44" w:name="tax-reporting"/>
    <w:p>
      <w:pPr>
        <w:pStyle w:val="Heading4"/>
      </w:pPr>
      <w:r>
        <w:t xml:space="preserve">4.4.2 Tax Reporting</w:t>
      </w:r>
    </w:p>
    <w:p>
      <w:pPr>
        <w:numPr>
          <w:ilvl w:val="0"/>
          <w:numId w:val="1038"/>
        </w:numPr>
        <w:pStyle w:val="Compact"/>
      </w:pPr>
      <w:r>
        <w:rPr>
          <w:bCs/>
          <w:b/>
        </w:rPr>
        <w:t xml:space="preserve">Tax Document Generation</w:t>
      </w:r>
    </w:p>
    <w:p>
      <w:pPr>
        <w:numPr>
          <w:ilvl w:val="1"/>
          <w:numId w:val="1039"/>
        </w:numPr>
        <w:pStyle w:val="Compact"/>
      </w:pPr>
      <w:r>
        <w:t xml:space="preserve">Annual tax statements</w:t>
      </w:r>
    </w:p>
    <w:p>
      <w:pPr>
        <w:numPr>
          <w:ilvl w:val="1"/>
          <w:numId w:val="1039"/>
        </w:numPr>
        <w:pStyle w:val="Compact"/>
      </w:pPr>
      <w:r>
        <w:t xml:space="preserve">Schedule K-1 generation (if applicable)</w:t>
      </w:r>
    </w:p>
    <w:p>
      <w:pPr>
        <w:numPr>
          <w:ilvl w:val="1"/>
          <w:numId w:val="1039"/>
        </w:numPr>
        <w:pStyle w:val="Compact"/>
      </w:pPr>
      <w:r>
        <w:t xml:space="preserve">1099-DIV for dividends</w:t>
      </w:r>
    </w:p>
    <w:p>
      <w:pPr>
        <w:numPr>
          <w:ilvl w:val="1"/>
          <w:numId w:val="1039"/>
        </w:numPr>
        <w:pStyle w:val="Compact"/>
      </w:pPr>
      <w:r>
        <w:t xml:space="preserve">Tax basis tracking</w:t>
      </w:r>
    </w:p>
    <w:p>
      <w:pPr>
        <w:numPr>
          <w:ilvl w:val="1"/>
          <w:numId w:val="1039"/>
        </w:numPr>
        <w:pStyle w:val="Compact"/>
      </w:pPr>
      <w:r>
        <w:t xml:space="preserve">Depreciation allocation</w:t>
      </w:r>
    </w:p>
    <w:p>
      <w:pPr>
        <w:numPr>
          <w:ilvl w:val="0"/>
          <w:numId w:val="1038"/>
        </w:numPr>
        <w:pStyle w:val="Compact"/>
      </w:pPr>
      <w:r>
        <w:rPr>
          <w:bCs/>
          <w:b/>
        </w:rPr>
        <w:t xml:space="preserve">Tax Calendar</w:t>
      </w:r>
    </w:p>
    <w:p>
      <w:pPr>
        <w:numPr>
          <w:ilvl w:val="1"/>
          <w:numId w:val="1040"/>
        </w:numPr>
        <w:pStyle w:val="Compact"/>
      </w:pPr>
      <w:r>
        <w:t xml:space="preserve">Tax document delivery schedule</w:t>
      </w:r>
    </w:p>
    <w:p>
      <w:pPr>
        <w:numPr>
          <w:ilvl w:val="1"/>
          <w:numId w:val="1040"/>
        </w:numPr>
        <w:pStyle w:val="Compact"/>
      </w:pPr>
      <w:r>
        <w:t xml:space="preserve">Tax filing deadline reminders</w:t>
      </w:r>
    </w:p>
    <w:p>
      <w:pPr>
        <w:numPr>
          <w:ilvl w:val="1"/>
          <w:numId w:val="1040"/>
        </w:numPr>
        <w:pStyle w:val="Compact"/>
      </w:pPr>
      <w:r>
        <w:t xml:space="preserve">Estimated tax payment reminders</w:t>
      </w:r>
    </w:p>
    <w:p>
      <w:pPr>
        <w:numPr>
          <w:ilvl w:val="1"/>
          <w:numId w:val="1040"/>
        </w:numPr>
        <w:pStyle w:val="Compact"/>
      </w:pPr>
      <w:r>
        <w:t xml:space="preserve">Tax document archive</w:t>
      </w:r>
    </w:p>
    <w:bookmarkEnd w:id="44"/>
    <w:bookmarkEnd w:id="45"/>
    <w:bookmarkEnd w:id="46"/>
    <w:bookmarkStart w:id="49" w:name="integration-requirements"/>
    <w:p>
      <w:pPr>
        <w:pStyle w:val="Heading2"/>
      </w:pPr>
      <w:r>
        <w:t xml:space="preserve">5. Integration Requirements</w:t>
      </w:r>
    </w:p>
    <w:bookmarkStart w:id="47" w:name="external-system-integrations"/>
    <w:p>
      <w:pPr>
        <w:pStyle w:val="Heading3"/>
      </w:pPr>
      <w:r>
        <w:t xml:space="preserve">5.1 External System Integrations</w:t>
      </w:r>
    </w:p>
    <w:p>
      <w:pPr>
        <w:numPr>
          <w:ilvl w:val="0"/>
          <w:numId w:val="1041"/>
        </w:numPr>
        <w:pStyle w:val="Compact"/>
      </w:pPr>
      <w:r>
        <w:rPr>
          <w:bCs/>
          <w:b/>
        </w:rPr>
        <w:t xml:space="preserve">Payment Processors</w:t>
      </w:r>
    </w:p>
    <w:p>
      <w:pPr>
        <w:numPr>
          <w:ilvl w:val="1"/>
          <w:numId w:val="1042"/>
        </w:numPr>
        <w:pStyle w:val="Compact"/>
      </w:pPr>
      <w:r>
        <w:t xml:space="preserve">Bank/ACH integration</w:t>
      </w:r>
    </w:p>
    <w:p>
      <w:pPr>
        <w:numPr>
          <w:ilvl w:val="1"/>
          <w:numId w:val="1042"/>
        </w:numPr>
        <w:pStyle w:val="Compact"/>
      </w:pPr>
      <w:r>
        <w:t xml:space="preserve">Credit card processing</w:t>
      </w:r>
    </w:p>
    <w:p>
      <w:pPr>
        <w:numPr>
          <w:ilvl w:val="1"/>
          <w:numId w:val="1042"/>
        </w:numPr>
        <w:pStyle w:val="Compact"/>
      </w:pPr>
      <w:r>
        <w:t xml:space="preserve">Digital wallet services</w:t>
      </w:r>
    </w:p>
    <w:p>
      <w:pPr>
        <w:numPr>
          <w:ilvl w:val="1"/>
          <w:numId w:val="1042"/>
        </w:numPr>
        <w:pStyle w:val="Compact"/>
      </w:pPr>
      <w:r>
        <w:t xml:space="preserve">Wire transfer services</w:t>
      </w:r>
    </w:p>
    <w:p>
      <w:pPr>
        <w:numPr>
          <w:ilvl w:val="0"/>
          <w:numId w:val="1041"/>
        </w:numPr>
        <w:pStyle w:val="Compact"/>
      </w:pPr>
      <w:r>
        <w:rPr>
          <w:bCs/>
          <w:b/>
        </w:rPr>
        <w:t xml:space="preserve">Tax Service Providers</w:t>
      </w:r>
    </w:p>
    <w:p>
      <w:pPr>
        <w:numPr>
          <w:ilvl w:val="1"/>
          <w:numId w:val="1043"/>
        </w:numPr>
        <w:pStyle w:val="Compact"/>
      </w:pPr>
      <w:r>
        <w:t xml:space="preserve">Tax document generation</w:t>
      </w:r>
    </w:p>
    <w:p>
      <w:pPr>
        <w:numPr>
          <w:ilvl w:val="1"/>
          <w:numId w:val="1043"/>
        </w:numPr>
        <w:pStyle w:val="Compact"/>
      </w:pPr>
      <w:r>
        <w:t xml:space="preserve">Tax calculation services</w:t>
      </w:r>
    </w:p>
    <w:p>
      <w:pPr>
        <w:numPr>
          <w:ilvl w:val="1"/>
          <w:numId w:val="1043"/>
        </w:numPr>
        <w:pStyle w:val="Compact"/>
      </w:pPr>
      <w:r>
        <w:t xml:space="preserve">Tax filing services integration (optional)</w:t>
      </w:r>
    </w:p>
    <w:p>
      <w:pPr>
        <w:numPr>
          <w:ilvl w:val="0"/>
          <w:numId w:val="1041"/>
        </w:numPr>
        <w:pStyle w:val="Compact"/>
      </w:pPr>
      <w:r>
        <w:rPr>
          <w:bCs/>
          <w:b/>
        </w:rPr>
        <w:t xml:space="preserve">E-Signature Services</w:t>
      </w:r>
    </w:p>
    <w:p>
      <w:pPr>
        <w:numPr>
          <w:ilvl w:val="1"/>
          <w:numId w:val="1044"/>
        </w:numPr>
        <w:pStyle w:val="Compact"/>
      </w:pPr>
      <w:r>
        <w:t xml:space="preserve">Document signing</w:t>
      </w:r>
    </w:p>
    <w:p>
      <w:pPr>
        <w:numPr>
          <w:ilvl w:val="1"/>
          <w:numId w:val="1044"/>
        </w:numPr>
        <w:pStyle w:val="Compact"/>
      </w:pPr>
      <w:r>
        <w:t xml:space="preserve">Signature verification</w:t>
      </w:r>
    </w:p>
    <w:p>
      <w:pPr>
        <w:numPr>
          <w:ilvl w:val="1"/>
          <w:numId w:val="1044"/>
        </w:numPr>
        <w:pStyle w:val="Compact"/>
      </w:pPr>
      <w:r>
        <w:t xml:space="preserve">Document delivery</w:t>
      </w:r>
    </w:p>
    <w:p>
      <w:pPr>
        <w:numPr>
          <w:ilvl w:val="0"/>
          <w:numId w:val="1041"/>
        </w:numPr>
        <w:pStyle w:val="Compact"/>
      </w:pPr>
      <w:r>
        <w:rPr>
          <w:bCs/>
          <w:b/>
        </w:rPr>
        <w:t xml:space="preserve">Property Management Software</w:t>
      </w:r>
    </w:p>
    <w:p>
      <w:pPr>
        <w:numPr>
          <w:ilvl w:val="1"/>
          <w:numId w:val="1045"/>
        </w:numPr>
        <w:pStyle w:val="Compact"/>
      </w:pPr>
      <w:r>
        <w:t xml:space="preserve">Rental income data</w:t>
      </w:r>
    </w:p>
    <w:p>
      <w:pPr>
        <w:numPr>
          <w:ilvl w:val="1"/>
          <w:numId w:val="1045"/>
        </w:numPr>
        <w:pStyle w:val="Compact"/>
      </w:pPr>
      <w:r>
        <w:t xml:space="preserve">Expense data</w:t>
      </w:r>
    </w:p>
    <w:p>
      <w:pPr>
        <w:numPr>
          <w:ilvl w:val="1"/>
          <w:numId w:val="1045"/>
        </w:numPr>
        <w:pStyle w:val="Compact"/>
      </w:pPr>
      <w:r>
        <w:t xml:space="preserve">Occupancy information</w:t>
      </w:r>
    </w:p>
    <w:p>
      <w:pPr>
        <w:numPr>
          <w:ilvl w:val="1"/>
          <w:numId w:val="1045"/>
        </w:numPr>
        <w:pStyle w:val="Compact"/>
      </w:pPr>
      <w:r>
        <w:t xml:space="preserve">Maintenance records</w:t>
      </w:r>
    </w:p>
    <w:bookmarkEnd w:id="47"/>
    <w:bookmarkStart w:id="48" w:name="internal-system-integrations"/>
    <w:p>
      <w:pPr>
        <w:pStyle w:val="Heading3"/>
      </w:pPr>
      <w:r>
        <w:t xml:space="preserve">5.2 Internal System Integrations</w:t>
      </w:r>
    </w:p>
    <w:p>
      <w:pPr>
        <w:numPr>
          <w:ilvl w:val="0"/>
          <w:numId w:val="1046"/>
        </w:numPr>
        <w:pStyle w:val="Compact"/>
      </w:pPr>
      <w:r>
        <w:rPr>
          <w:bCs/>
          <w:b/>
        </w:rPr>
        <w:t xml:space="preserve">User Registration and Authentication</w:t>
      </w:r>
    </w:p>
    <w:p>
      <w:pPr>
        <w:numPr>
          <w:ilvl w:val="1"/>
          <w:numId w:val="1047"/>
        </w:numPr>
        <w:pStyle w:val="Compact"/>
      </w:pPr>
      <w:r>
        <w:t xml:space="preserve">Investor verification status</w:t>
      </w:r>
    </w:p>
    <w:p>
      <w:pPr>
        <w:numPr>
          <w:ilvl w:val="1"/>
          <w:numId w:val="1047"/>
        </w:numPr>
        <w:pStyle w:val="Compact"/>
      </w:pPr>
      <w:r>
        <w:t xml:space="preserve">Accreditation status</w:t>
      </w:r>
    </w:p>
    <w:p>
      <w:pPr>
        <w:numPr>
          <w:ilvl w:val="1"/>
          <w:numId w:val="1047"/>
        </w:numPr>
        <w:pStyle w:val="Compact"/>
      </w:pPr>
      <w:r>
        <w:t xml:space="preserve">Permission checks for investment</w:t>
      </w:r>
    </w:p>
    <w:p>
      <w:pPr>
        <w:numPr>
          <w:ilvl w:val="0"/>
          <w:numId w:val="1046"/>
        </w:numPr>
        <w:pStyle w:val="Compact"/>
      </w:pPr>
      <w:r>
        <w:rPr>
          <w:bCs/>
          <w:b/>
        </w:rPr>
        <w:t xml:space="preserve">Property Listing and Offering Management</w:t>
      </w:r>
    </w:p>
    <w:p>
      <w:pPr>
        <w:numPr>
          <w:ilvl w:val="1"/>
          <w:numId w:val="1048"/>
        </w:numPr>
        <w:pStyle w:val="Compact"/>
      </w:pPr>
      <w:r>
        <w:t xml:space="preserve">Offering details</w:t>
      </w:r>
    </w:p>
    <w:p>
      <w:pPr>
        <w:numPr>
          <w:ilvl w:val="1"/>
          <w:numId w:val="1048"/>
        </w:numPr>
        <w:pStyle w:val="Compact"/>
      </w:pPr>
      <w:r>
        <w:t xml:space="preserve">Available shares/tokens</w:t>
      </w:r>
    </w:p>
    <w:p>
      <w:pPr>
        <w:numPr>
          <w:ilvl w:val="1"/>
          <w:numId w:val="1048"/>
        </w:numPr>
        <w:pStyle w:val="Compact"/>
      </w:pPr>
      <w:r>
        <w:t xml:space="preserve">Offering documents</w:t>
      </w:r>
    </w:p>
    <w:p>
      <w:pPr>
        <w:numPr>
          <w:ilvl w:val="1"/>
          <w:numId w:val="1048"/>
        </w:numPr>
        <w:pStyle w:val="Compact"/>
      </w:pPr>
      <w:r>
        <w:t xml:space="preserve">Offering status updates</w:t>
      </w:r>
    </w:p>
    <w:p>
      <w:pPr>
        <w:numPr>
          <w:ilvl w:val="0"/>
          <w:numId w:val="1046"/>
        </w:numPr>
        <w:pStyle w:val="Compact"/>
      </w:pPr>
      <w:r>
        <w:rPr>
          <w:bCs/>
          <w:b/>
        </w:rPr>
        <w:t xml:space="preserve">Wallet and Transaction System</w:t>
      </w:r>
    </w:p>
    <w:p>
      <w:pPr>
        <w:numPr>
          <w:ilvl w:val="1"/>
          <w:numId w:val="1049"/>
        </w:numPr>
        <w:pStyle w:val="Compact"/>
      </w:pPr>
      <w:r>
        <w:t xml:space="preserve">Balance verification</w:t>
      </w:r>
    </w:p>
    <w:p>
      <w:pPr>
        <w:numPr>
          <w:ilvl w:val="1"/>
          <w:numId w:val="1049"/>
        </w:numPr>
        <w:pStyle w:val="Compact"/>
      </w:pPr>
      <w:r>
        <w:t xml:space="preserve">Transaction processing</w:t>
      </w:r>
    </w:p>
    <w:p>
      <w:pPr>
        <w:numPr>
          <w:ilvl w:val="1"/>
          <w:numId w:val="1049"/>
        </w:numPr>
        <w:pStyle w:val="Compact"/>
      </w:pPr>
      <w:r>
        <w:t xml:space="preserve">Payment tracking</w:t>
      </w:r>
    </w:p>
    <w:p>
      <w:pPr>
        <w:numPr>
          <w:ilvl w:val="1"/>
          <w:numId w:val="1049"/>
        </w:numPr>
        <w:pStyle w:val="Compact"/>
      </w:pPr>
      <w:r>
        <w:t xml:space="preserve">Dividend disbursement</w:t>
      </w:r>
    </w:p>
    <w:p>
      <w:pPr>
        <w:numPr>
          <w:ilvl w:val="0"/>
          <w:numId w:val="1046"/>
        </w:numPr>
        <w:pStyle w:val="Compact"/>
      </w:pPr>
      <w:r>
        <w:rPr>
          <w:bCs/>
          <w:b/>
        </w:rPr>
        <w:t xml:space="preserve">Secondary Market</w:t>
      </w:r>
    </w:p>
    <w:p>
      <w:pPr>
        <w:numPr>
          <w:ilvl w:val="1"/>
          <w:numId w:val="1050"/>
        </w:numPr>
        <w:pStyle w:val="Compact"/>
      </w:pPr>
      <w:r>
        <w:t xml:space="preserve">Ownership transfer recording</w:t>
      </w:r>
    </w:p>
    <w:p>
      <w:pPr>
        <w:numPr>
          <w:ilvl w:val="1"/>
          <w:numId w:val="1050"/>
        </w:numPr>
        <w:pStyle w:val="Compact"/>
      </w:pPr>
      <w:r>
        <w:t xml:space="preserve">Trading eligibility verification</w:t>
      </w:r>
    </w:p>
    <w:p>
      <w:pPr>
        <w:numPr>
          <w:ilvl w:val="1"/>
          <w:numId w:val="1050"/>
        </w:numPr>
        <w:pStyle w:val="Compact"/>
      </w:pPr>
      <w:r>
        <w:t xml:space="preserve">Portfolio updates after trades</w:t>
      </w:r>
    </w:p>
    <w:bookmarkEnd w:id="48"/>
    <w:bookmarkEnd w:id="49"/>
    <w:bookmarkStart w:id="54" w:name="non-functional-requirements"/>
    <w:p>
      <w:pPr>
        <w:pStyle w:val="Heading2"/>
      </w:pPr>
      <w:r>
        <w:t xml:space="preserve">6. Non-functional Requirements</w:t>
      </w:r>
    </w:p>
    <w:bookmarkStart w:id="50" w:name="security-requirements"/>
    <w:p>
      <w:pPr>
        <w:pStyle w:val="Heading3"/>
      </w:pPr>
      <w:r>
        <w:t xml:space="preserve">6.1 Security Requirements</w:t>
      </w:r>
    </w:p>
    <w:p>
      <w:pPr>
        <w:numPr>
          <w:ilvl w:val="0"/>
          <w:numId w:val="1051"/>
        </w:numPr>
        <w:pStyle w:val="Compact"/>
      </w:pPr>
      <w:r>
        <w:rPr>
          <w:bCs/>
          <w:b/>
        </w:rPr>
        <w:t xml:space="preserve">Transaction Security</w:t>
      </w:r>
    </w:p>
    <w:p>
      <w:pPr>
        <w:numPr>
          <w:ilvl w:val="1"/>
          <w:numId w:val="1052"/>
        </w:numPr>
        <w:pStyle w:val="Compact"/>
      </w:pPr>
      <w:r>
        <w:t xml:space="preserve">Secure payment processing</w:t>
      </w:r>
    </w:p>
    <w:p>
      <w:pPr>
        <w:numPr>
          <w:ilvl w:val="1"/>
          <w:numId w:val="1052"/>
        </w:numPr>
        <w:pStyle w:val="Compact"/>
      </w:pPr>
      <w:r>
        <w:t xml:space="preserve">Encryption of financial data</w:t>
      </w:r>
    </w:p>
    <w:p>
      <w:pPr>
        <w:numPr>
          <w:ilvl w:val="1"/>
          <w:numId w:val="1052"/>
        </w:numPr>
        <w:pStyle w:val="Compact"/>
      </w:pPr>
      <w:r>
        <w:t xml:space="preserve">Multi-factor authentication for transactions</w:t>
      </w:r>
    </w:p>
    <w:p>
      <w:pPr>
        <w:numPr>
          <w:ilvl w:val="1"/>
          <w:numId w:val="1052"/>
        </w:numPr>
        <w:pStyle w:val="Compact"/>
      </w:pPr>
      <w:r>
        <w:t xml:space="preserve">Fraud detection mechanisms</w:t>
      </w:r>
    </w:p>
    <w:p>
      <w:pPr>
        <w:numPr>
          <w:ilvl w:val="1"/>
          <w:numId w:val="1052"/>
        </w:numPr>
        <w:pStyle w:val="Compact"/>
      </w:pPr>
      <w:r>
        <w:t xml:space="preserve">Transaction verification protocols</w:t>
      </w:r>
    </w:p>
    <w:p>
      <w:pPr>
        <w:numPr>
          <w:ilvl w:val="0"/>
          <w:numId w:val="1051"/>
        </w:numPr>
        <w:pStyle w:val="Compact"/>
      </w:pPr>
      <w:r>
        <w:rPr>
          <w:bCs/>
          <w:b/>
        </w:rPr>
        <w:t xml:space="preserve">Data Protection</w:t>
      </w:r>
    </w:p>
    <w:p>
      <w:pPr>
        <w:numPr>
          <w:ilvl w:val="1"/>
          <w:numId w:val="1053"/>
        </w:numPr>
        <w:pStyle w:val="Compact"/>
      </w:pPr>
      <w:r>
        <w:t xml:space="preserve">Investment data encryption</w:t>
      </w:r>
    </w:p>
    <w:p>
      <w:pPr>
        <w:numPr>
          <w:ilvl w:val="1"/>
          <w:numId w:val="1053"/>
        </w:numPr>
        <w:pStyle w:val="Compact"/>
      </w:pPr>
      <w:r>
        <w:t xml:space="preserve">Access controls for financial information</w:t>
      </w:r>
    </w:p>
    <w:p>
      <w:pPr>
        <w:numPr>
          <w:ilvl w:val="1"/>
          <w:numId w:val="1053"/>
        </w:numPr>
        <w:pStyle w:val="Compact"/>
      </w:pPr>
      <w:r>
        <w:t xml:space="preserve">Audit logging of all financial transactions</w:t>
      </w:r>
    </w:p>
    <w:p>
      <w:pPr>
        <w:numPr>
          <w:ilvl w:val="1"/>
          <w:numId w:val="1053"/>
        </w:numPr>
        <w:pStyle w:val="Compact"/>
      </w:pPr>
      <w:r>
        <w:t xml:space="preserve">Compliance with financial data regulations</w:t>
      </w:r>
    </w:p>
    <w:bookmarkEnd w:id="50"/>
    <w:bookmarkStart w:id="51" w:name="performance-requirements"/>
    <w:p>
      <w:pPr>
        <w:pStyle w:val="Heading3"/>
      </w:pPr>
      <w:r>
        <w:t xml:space="preserve">6.2 Performance Requirements</w:t>
      </w:r>
    </w:p>
    <w:p>
      <w:pPr>
        <w:numPr>
          <w:ilvl w:val="0"/>
          <w:numId w:val="1054"/>
        </w:numPr>
        <w:pStyle w:val="Compact"/>
      </w:pPr>
      <w:r>
        <w:rPr>
          <w:bCs/>
          <w:b/>
        </w:rPr>
        <w:t xml:space="preserve">Response Times</w:t>
      </w:r>
    </w:p>
    <w:p>
      <w:pPr>
        <w:numPr>
          <w:ilvl w:val="1"/>
          <w:numId w:val="1055"/>
        </w:numPr>
        <w:pStyle w:val="Compact"/>
      </w:pPr>
      <w:r>
        <w:t xml:space="preserve">Investment transaction processing &lt; 5 seconds</w:t>
      </w:r>
    </w:p>
    <w:p>
      <w:pPr>
        <w:numPr>
          <w:ilvl w:val="1"/>
          <w:numId w:val="1055"/>
        </w:numPr>
        <w:pStyle w:val="Compact"/>
      </w:pPr>
      <w:r>
        <w:t xml:space="preserve">Payment processing confirmation &lt; 30 seconds</w:t>
      </w:r>
    </w:p>
    <w:p>
      <w:pPr>
        <w:numPr>
          <w:ilvl w:val="1"/>
          <w:numId w:val="1055"/>
        </w:numPr>
        <w:pStyle w:val="Compact"/>
      </w:pPr>
      <w:r>
        <w:t xml:space="preserve">Dividend calculation &lt; 10 seconds per batch</w:t>
      </w:r>
    </w:p>
    <w:p>
      <w:pPr>
        <w:numPr>
          <w:ilvl w:val="1"/>
          <w:numId w:val="1055"/>
        </w:numPr>
        <w:pStyle w:val="Compact"/>
      </w:pPr>
      <w:r>
        <w:t xml:space="preserve">Investment dashboard loading &lt; 3 seconds</w:t>
      </w:r>
    </w:p>
    <w:p>
      <w:pPr>
        <w:numPr>
          <w:ilvl w:val="0"/>
          <w:numId w:val="1054"/>
        </w:numPr>
        <w:pStyle w:val="Compact"/>
      </w:pPr>
      <w:r>
        <w:rPr>
          <w:bCs/>
          <w:b/>
        </w:rPr>
        <w:t xml:space="preserve">Scalability</w:t>
      </w:r>
    </w:p>
    <w:p>
      <w:pPr>
        <w:numPr>
          <w:ilvl w:val="1"/>
          <w:numId w:val="1056"/>
        </w:numPr>
        <w:pStyle w:val="Compact"/>
      </w:pPr>
      <w:r>
        <w:t xml:space="preserve">Support for 10,000+ concurrent investors</w:t>
      </w:r>
    </w:p>
    <w:p>
      <w:pPr>
        <w:numPr>
          <w:ilvl w:val="1"/>
          <w:numId w:val="1056"/>
        </w:numPr>
        <w:pStyle w:val="Compact"/>
      </w:pPr>
      <w:r>
        <w:t xml:space="preserve">Processing of 1,000+ simultaneous investment transactions</w:t>
      </w:r>
    </w:p>
    <w:p>
      <w:pPr>
        <w:numPr>
          <w:ilvl w:val="1"/>
          <w:numId w:val="1056"/>
        </w:numPr>
        <w:pStyle w:val="Compact"/>
      </w:pPr>
      <w:r>
        <w:t xml:space="preserve">Management of 100,000+ ownership records</w:t>
      </w:r>
    </w:p>
    <w:p>
      <w:pPr>
        <w:numPr>
          <w:ilvl w:val="1"/>
          <w:numId w:val="1056"/>
        </w:numPr>
        <w:pStyle w:val="Compact"/>
      </w:pPr>
      <w:r>
        <w:t xml:space="preserve">Distribution to 50,000+ investors simultaneously</w:t>
      </w:r>
    </w:p>
    <w:bookmarkEnd w:id="51"/>
    <w:bookmarkStart w:id="52" w:name="availability-requirements"/>
    <w:p>
      <w:pPr>
        <w:pStyle w:val="Heading3"/>
      </w:pPr>
      <w:r>
        <w:t xml:space="preserve">6.3 Availability Requirements</w:t>
      </w:r>
    </w:p>
    <w:p>
      <w:pPr>
        <w:numPr>
          <w:ilvl w:val="0"/>
          <w:numId w:val="1057"/>
        </w:numPr>
        <w:pStyle w:val="Compact"/>
      </w:pPr>
      <w:r>
        <w:rPr>
          <w:bCs/>
          <w:b/>
        </w:rPr>
        <w:t xml:space="preserve">System Uptime</w:t>
      </w:r>
    </w:p>
    <w:p>
      <w:pPr>
        <w:numPr>
          <w:ilvl w:val="1"/>
          <w:numId w:val="1058"/>
        </w:numPr>
        <w:pStyle w:val="Compact"/>
      </w:pPr>
      <w:r>
        <w:t xml:space="preserve">99.99% uptime for investment transaction processing</w:t>
      </w:r>
    </w:p>
    <w:p>
      <w:pPr>
        <w:numPr>
          <w:ilvl w:val="1"/>
          <w:numId w:val="1058"/>
        </w:numPr>
        <w:pStyle w:val="Compact"/>
      </w:pPr>
      <w:r>
        <w:t xml:space="preserve">99.9% uptime for dividend processing</w:t>
      </w:r>
    </w:p>
    <w:p>
      <w:pPr>
        <w:numPr>
          <w:ilvl w:val="1"/>
          <w:numId w:val="1058"/>
        </w:numPr>
        <w:pStyle w:val="Compact"/>
      </w:pPr>
      <w:r>
        <w:t xml:space="preserve">24/7 availability with minimal maintenance windows</w:t>
      </w:r>
    </w:p>
    <w:p>
      <w:pPr>
        <w:numPr>
          <w:ilvl w:val="1"/>
          <w:numId w:val="1058"/>
        </w:numPr>
        <w:pStyle w:val="Compact"/>
      </w:pPr>
      <w:r>
        <w:t xml:space="preserve">Redundancy for all critical financial components</w:t>
      </w:r>
    </w:p>
    <w:bookmarkEnd w:id="52"/>
    <w:bookmarkStart w:id="53" w:name="compliance-requirements"/>
    <w:p>
      <w:pPr>
        <w:pStyle w:val="Heading3"/>
      </w:pPr>
      <w:r>
        <w:t xml:space="preserve">6.4 Compliance Requirements</w:t>
      </w:r>
    </w:p>
    <w:p>
      <w:pPr>
        <w:numPr>
          <w:ilvl w:val="0"/>
          <w:numId w:val="1059"/>
        </w:numPr>
        <w:pStyle w:val="Compact"/>
      </w:pPr>
      <w:r>
        <w:rPr>
          <w:bCs/>
          <w:b/>
        </w:rPr>
        <w:t xml:space="preserve">Regulatory Compliance</w:t>
      </w:r>
    </w:p>
    <w:p>
      <w:pPr>
        <w:numPr>
          <w:ilvl w:val="1"/>
          <w:numId w:val="1060"/>
        </w:numPr>
        <w:pStyle w:val="Compact"/>
      </w:pPr>
      <w:r>
        <w:t xml:space="preserve">Compliance with securities regulations</w:t>
      </w:r>
    </w:p>
    <w:p>
      <w:pPr>
        <w:numPr>
          <w:ilvl w:val="1"/>
          <w:numId w:val="1060"/>
        </w:numPr>
        <w:pStyle w:val="Compact"/>
      </w:pPr>
      <w:r>
        <w:t xml:space="preserve">Financial transaction reporting</w:t>
      </w:r>
    </w:p>
    <w:p>
      <w:pPr>
        <w:numPr>
          <w:ilvl w:val="1"/>
          <w:numId w:val="1060"/>
        </w:numPr>
        <w:pStyle w:val="Compact"/>
      </w:pPr>
      <w:r>
        <w:t xml:space="preserve">Anti-money laundering compliance</w:t>
      </w:r>
    </w:p>
    <w:p>
      <w:pPr>
        <w:numPr>
          <w:ilvl w:val="1"/>
          <w:numId w:val="1060"/>
        </w:numPr>
        <w:pStyle w:val="Compact"/>
      </w:pPr>
      <w:r>
        <w:t xml:space="preserve">Tax reporting compliance</w:t>
      </w:r>
    </w:p>
    <w:p>
      <w:pPr>
        <w:numPr>
          <w:ilvl w:val="1"/>
          <w:numId w:val="1060"/>
        </w:numPr>
        <w:pStyle w:val="Compact"/>
      </w:pPr>
      <w:r>
        <w:t xml:space="preserve">Audit trail for all financial activities</w:t>
      </w:r>
    </w:p>
    <w:bookmarkEnd w:id="53"/>
    <w:bookmarkEnd w:id="54"/>
    <w:bookmarkStart w:id="57" w:name="user-experience-requirements"/>
    <w:p>
      <w:pPr>
        <w:pStyle w:val="Heading2"/>
      </w:pPr>
      <w:r>
        <w:t xml:space="preserve">7. User Experience Requirements</w:t>
      </w:r>
    </w:p>
    <w:bookmarkStart w:id="55" w:name="investment-experience"/>
    <w:p>
      <w:pPr>
        <w:pStyle w:val="Heading3"/>
      </w:pPr>
      <w:r>
        <w:t xml:space="preserve">7.1 Investment Experience</w:t>
      </w:r>
    </w:p>
    <w:p>
      <w:pPr>
        <w:numPr>
          <w:ilvl w:val="0"/>
          <w:numId w:val="1061"/>
        </w:numPr>
        <w:pStyle w:val="Compact"/>
      </w:pPr>
      <w:r>
        <w:rPr>
          <w:bCs/>
          <w:b/>
        </w:rPr>
        <w:t xml:space="preserve">User-friendly Interface</w:t>
      </w:r>
    </w:p>
    <w:p>
      <w:pPr>
        <w:numPr>
          <w:ilvl w:val="1"/>
          <w:numId w:val="1062"/>
        </w:numPr>
        <w:pStyle w:val="Compact"/>
      </w:pPr>
      <w:r>
        <w:t xml:space="preserve">Intuitive investment flow</w:t>
      </w:r>
    </w:p>
    <w:p>
      <w:pPr>
        <w:numPr>
          <w:ilvl w:val="1"/>
          <w:numId w:val="1062"/>
        </w:numPr>
        <w:pStyle w:val="Compact"/>
      </w:pPr>
      <w:r>
        <w:t xml:space="preserve">Clear presentation of investment information</w:t>
      </w:r>
    </w:p>
    <w:p>
      <w:pPr>
        <w:numPr>
          <w:ilvl w:val="1"/>
          <w:numId w:val="1062"/>
        </w:numPr>
        <w:pStyle w:val="Compact"/>
      </w:pPr>
      <w:r>
        <w:t xml:space="preserve">Transparent fee disclosure</w:t>
      </w:r>
    </w:p>
    <w:p>
      <w:pPr>
        <w:numPr>
          <w:ilvl w:val="1"/>
          <w:numId w:val="1062"/>
        </w:numPr>
        <w:pStyle w:val="Compact"/>
      </w:pPr>
      <w:r>
        <w:t xml:space="preserve">Simple document review and signing</w:t>
      </w:r>
    </w:p>
    <w:p>
      <w:pPr>
        <w:numPr>
          <w:ilvl w:val="1"/>
          <w:numId w:val="1062"/>
        </w:numPr>
        <w:pStyle w:val="Compact"/>
      </w:pPr>
      <w:r>
        <w:t xml:space="preserve">Mobile-responsive design</w:t>
      </w:r>
    </w:p>
    <w:p>
      <w:pPr>
        <w:numPr>
          <w:ilvl w:val="0"/>
          <w:numId w:val="1061"/>
        </w:numPr>
        <w:pStyle w:val="Compact"/>
      </w:pPr>
      <w:r>
        <w:rPr>
          <w:bCs/>
          <w:b/>
        </w:rPr>
        <w:t xml:space="preserve">Decision Support</w:t>
      </w:r>
    </w:p>
    <w:p>
      <w:pPr>
        <w:numPr>
          <w:ilvl w:val="1"/>
          <w:numId w:val="1063"/>
        </w:numPr>
        <w:pStyle w:val="Compact"/>
      </w:pPr>
      <w:r>
        <w:t xml:space="preserve">Interactive financial calculators</w:t>
      </w:r>
    </w:p>
    <w:p>
      <w:pPr>
        <w:numPr>
          <w:ilvl w:val="1"/>
          <w:numId w:val="1063"/>
        </w:numPr>
        <w:pStyle w:val="Compact"/>
      </w:pPr>
      <w:r>
        <w:t xml:space="preserve">Visual comparison tools</w:t>
      </w:r>
    </w:p>
    <w:p>
      <w:pPr>
        <w:numPr>
          <w:ilvl w:val="1"/>
          <w:numId w:val="1063"/>
        </w:numPr>
        <w:pStyle w:val="Compact"/>
      </w:pPr>
      <w:r>
        <w:t xml:space="preserve">Risk assessment visualization</w:t>
      </w:r>
    </w:p>
    <w:p>
      <w:pPr>
        <w:numPr>
          <w:ilvl w:val="1"/>
          <w:numId w:val="1063"/>
        </w:numPr>
        <w:pStyle w:val="Compact"/>
      </w:pPr>
      <w:r>
        <w:t xml:space="preserve">Clear presentation of terms and conditions</w:t>
      </w:r>
    </w:p>
    <w:p>
      <w:pPr>
        <w:numPr>
          <w:ilvl w:val="1"/>
          <w:numId w:val="1063"/>
        </w:numPr>
        <w:pStyle w:val="Compact"/>
      </w:pPr>
      <w:r>
        <w:t xml:space="preserve">Investment simulation tools</w:t>
      </w:r>
    </w:p>
    <w:bookmarkEnd w:id="55"/>
    <w:bookmarkStart w:id="56" w:name="portfolio-management-experience"/>
    <w:p>
      <w:pPr>
        <w:pStyle w:val="Heading3"/>
      </w:pPr>
      <w:r>
        <w:t xml:space="preserve">7.2 Portfolio Management Experience</w:t>
      </w:r>
    </w:p>
    <w:p>
      <w:pPr>
        <w:numPr>
          <w:ilvl w:val="0"/>
          <w:numId w:val="1064"/>
        </w:numPr>
        <w:pStyle w:val="Compact"/>
      </w:pPr>
      <w:r>
        <w:rPr>
          <w:bCs/>
          <w:b/>
        </w:rPr>
        <w:t xml:space="preserve">Portfolio Dashboard</w:t>
      </w:r>
    </w:p>
    <w:p>
      <w:pPr>
        <w:numPr>
          <w:ilvl w:val="1"/>
          <w:numId w:val="1065"/>
        </w:numPr>
        <w:pStyle w:val="Compact"/>
      </w:pPr>
      <w:r>
        <w:t xml:space="preserve">Comprehensive portfolio overview</w:t>
      </w:r>
    </w:p>
    <w:p>
      <w:pPr>
        <w:numPr>
          <w:ilvl w:val="1"/>
          <w:numId w:val="1065"/>
        </w:numPr>
        <w:pStyle w:val="Compact"/>
      </w:pPr>
      <w:r>
        <w:t xml:space="preserve">Visual performance metrics</w:t>
      </w:r>
    </w:p>
    <w:p>
      <w:pPr>
        <w:numPr>
          <w:ilvl w:val="1"/>
          <w:numId w:val="1065"/>
        </w:numPr>
        <w:pStyle w:val="Compact"/>
      </w:pPr>
      <w:r>
        <w:t xml:space="preserve">Dividend tracking visualization</w:t>
      </w:r>
    </w:p>
    <w:p>
      <w:pPr>
        <w:numPr>
          <w:ilvl w:val="1"/>
          <w:numId w:val="1065"/>
        </w:numPr>
        <w:pStyle w:val="Compact"/>
      </w:pPr>
      <w:r>
        <w:t xml:space="preserve">Document organization</w:t>
      </w:r>
    </w:p>
    <w:p>
      <w:pPr>
        <w:numPr>
          <w:ilvl w:val="1"/>
          <w:numId w:val="1065"/>
        </w:numPr>
        <w:pStyle w:val="Compact"/>
      </w:pPr>
      <w:r>
        <w:t xml:space="preserve">Property status updates</w:t>
      </w:r>
    </w:p>
    <w:p>
      <w:pPr>
        <w:numPr>
          <w:ilvl w:val="0"/>
          <w:numId w:val="1064"/>
        </w:numPr>
        <w:pStyle w:val="Compact"/>
      </w:pPr>
      <w:r>
        <w:rPr>
          <w:bCs/>
          <w:b/>
        </w:rPr>
        <w:t xml:space="preserve">Reporting Tools</w:t>
      </w:r>
    </w:p>
    <w:p>
      <w:pPr>
        <w:numPr>
          <w:ilvl w:val="1"/>
          <w:numId w:val="1066"/>
        </w:numPr>
        <w:pStyle w:val="Compact"/>
      </w:pPr>
      <w:r>
        <w:t xml:space="preserve">Customizable investment reports</w:t>
      </w:r>
    </w:p>
    <w:p>
      <w:pPr>
        <w:numPr>
          <w:ilvl w:val="1"/>
          <w:numId w:val="1066"/>
        </w:numPr>
        <w:pStyle w:val="Compact"/>
      </w:pPr>
      <w:r>
        <w:t xml:space="preserve">Export options (PDF, Excel, CSV)</w:t>
      </w:r>
    </w:p>
    <w:p>
      <w:pPr>
        <w:numPr>
          <w:ilvl w:val="1"/>
          <w:numId w:val="1066"/>
        </w:numPr>
        <w:pStyle w:val="Compact"/>
      </w:pPr>
      <w:r>
        <w:t xml:space="preserve">Tax document access</w:t>
      </w:r>
    </w:p>
    <w:p>
      <w:pPr>
        <w:numPr>
          <w:ilvl w:val="1"/>
          <w:numId w:val="1066"/>
        </w:numPr>
        <w:pStyle w:val="Compact"/>
      </w:pPr>
      <w:r>
        <w:t xml:space="preserve">Historical performance visualization</w:t>
      </w:r>
    </w:p>
    <w:p>
      <w:pPr>
        <w:numPr>
          <w:ilvl w:val="1"/>
          <w:numId w:val="1066"/>
        </w:numPr>
        <w:pStyle w:val="Compact"/>
      </w:pPr>
      <w:r>
        <w:t xml:space="preserve">Print-friendly formats</w:t>
      </w:r>
    </w:p>
    <w:bookmarkEnd w:id="56"/>
    <w:bookmarkEnd w:id="57"/>
    <w:bookmarkStart w:id="60" w:name="reporting-requirements"/>
    <w:p>
      <w:pPr>
        <w:pStyle w:val="Heading2"/>
      </w:pPr>
      <w:r>
        <w:t xml:space="preserve">8. Reporting Requirements</w:t>
      </w:r>
    </w:p>
    <w:bookmarkStart w:id="58" w:name="investment-analytics"/>
    <w:p>
      <w:pPr>
        <w:pStyle w:val="Heading3"/>
      </w:pPr>
      <w:r>
        <w:t xml:space="preserve">8.1 Investment Analytics</w:t>
      </w:r>
    </w:p>
    <w:p>
      <w:pPr>
        <w:numPr>
          <w:ilvl w:val="0"/>
          <w:numId w:val="1067"/>
        </w:numPr>
        <w:pStyle w:val="Compact"/>
      </w:pPr>
      <w:r>
        <w:rPr>
          <w:bCs/>
          <w:b/>
        </w:rPr>
        <w:t xml:space="preserve">Transaction Analytics</w:t>
      </w:r>
    </w:p>
    <w:p>
      <w:pPr>
        <w:numPr>
          <w:ilvl w:val="1"/>
          <w:numId w:val="1068"/>
        </w:numPr>
        <w:pStyle w:val="Compact"/>
      </w:pPr>
      <w:r>
        <w:t xml:space="preserve">Investment volume trends</w:t>
      </w:r>
    </w:p>
    <w:p>
      <w:pPr>
        <w:numPr>
          <w:ilvl w:val="1"/>
          <w:numId w:val="1068"/>
        </w:numPr>
        <w:pStyle w:val="Compact"/>
      </w:pPr>
      <w:r>
        <w:t xml:space="preserve">Average investment amounts</w:t>
      </w:r>
    </w:p>
    <w:p>
      <w:pPr>
        <w:numPr>
          <w:ilvl w:val="1"/>
          <w:numId w:val="1068"/>
        </w:numPr>
        <w:pStyle w:val="Compact"/>
      </w:pPr>
      <w:r>
        <w:t xml:space="preserve">Conversion rates from browsing to investment</w:t>
      </w:r>
    </w:p>
    <w:p>
      <w:pPr>
        <w:numPr>
          <w:ilvl w:val="1"/>
          <w:numId w:val="1068"/>
        </w:numPr>
        <w:pStyle w:val="Compact"/>
      </w:pPr>
      <w:r>
        <w:t xml:space="preserve">Payment method usage</w:t>
      </w:r>
    </w:p>
    <w:p>
      <w:pPr>
        <w:numPr>
          <w:ilvl w:val="1"/>
          <w:numId w:val="1068"/>
        </w:numPr>
        <w:pStyle w:val="Compact"/>
      </w:pPr>
      <w:r>
        <w:t xml:space="preserve">Funding velocity</w:t>
      </w:r>
    </w:p>
    <w:p>
      <w:pPr>
        <w:numPr>
          <w:ilvl w:val="0"/>
          <w:numId w:val="1067"/>
        </w:numPr>
        <w:pStyle w:val="Compact"/>
      </w:pPr>
      <w:r>
        <w:rPr>
          <w:bCs/>
          <w:b/>
        </w:rPr>
        <w:t xml:space="preserve">Performance Analytics</w:t>
      </w:r>
    </w:p>
    <w:p>
      <w:pPr>
        <w:numPr>
          <w:ilvl w:val="1"/>
          <w:numId w:val="1069"/>
        </w:numPr>
        <w:pStyle w:val="Compact"/>
      </w:pPr>
      <w:r>
        <w:t xml:space="preserve">Property performance vs. projections</w:t>
      </w:r>
    </w:p>
    <w:p>
      <w:pPr>
        <w:numPr>
          <w:ilvl w:val="1"/>
          <w:numId w:val="1069"/>
        </w:numPr>
        <w:pStyle w:val="Compact"/>
      </w:pPr>
      <w:r>
        <w:t xml:space="preserve">Dividend yield analysis</w:t>
      </w:r>
    </w:p>
    <w:p>
      <w:pPr>
        <w:numPr>
          <w:ilvl w:val="1"/>
          <w:numId w:val="1069"/>
        </w:numPr>
        <w:pStyle w:val="Compact"/>
      </w:pPr>
      <w:r>
        <w:t xml:space="preserve">Total return analysis</w:t>
      </w:r>
    </w:p>
    <w:p>
      <w:pPr>
        <w:numPr>
          <w:ilvl w:val="1"/>
          <w:numId w:val="1069"/>
        </w:numPr>
        <w:pStyle w:val="Compact"/>
      </w:pPr>
      <w:r>
        <w:t xml:space="preserve">Comparison across property types</w:t>
      </w:r>
    </w:p>
    <w:p>
      <w:pPr>
        <w:numPr>
          <w:ilvl w:val="1"/>
          <w:numId w:val="1069"/>
        </w:numPr>
        <w:pStyle w:val="Compact"/>
      </w:pPr>
      <w:r>
        <w:t xml:space="preserve">Benchmark comparison</w:t>
      </w:r>
    </w:p>
    <w:bookmarkEnd w:id="58"/>
    <w:bookmarkStart w:id="59" w:name="financial-reporting"/>
    <w:p>
      <w:pPr>
        <w:pStyle w:val="Heading3"/>
      </w:pPr>
      <w:r>
        <w:t xml:space="preserve">8.2 Financial Reporting</w:t>
      </w:r>
    </w:p>
    <w:p>
      <w:pPr>
        <w:numPr>
          <w:ilvl w:val="0"/>
          <w:numId w:val="1070"/>
        </w:numPr>
        <w:pStyle w:val="Compact"/>
      </w:pPr>
      <w:r>
        <w:rPr>
          <w:bCs/>
          <w:b/>
        </w:rPr>
        <w:t xml:space="preserve">Platform Financial Reports</w:t>
      </w:r>
    </w:p>
    <w:p>
      <w:pPr>
        <w:numPr>
          <w:ilvl w:val="1"/>
          <w:numId w:val="1071"/>
        </w:numPr>
        <w:pStyle w:val="Compact"/>
      </w:pPr>
      <w:r>
        <w:t xml:space="preserve">Total assets under management</w:t>
      </w:r>
    </w:p>
    <w:p>
      <w:pPr>
        <w:numPr>
          <w:ilvl w:val="1"/>
          <w:numId w:val="1071"/>
        </w:numPr>
        <w:pStyle w:val="Compact"/>
      </w:pPr>
      <w:r>
        <w:t xml:space="preserve">Total dividends distributed</w:t>
      </w:r>
    </w:p>
    <w:p>
      <w:pPr>
        <w:numPr>
          <w:ilvl w:val="1"/>
          <w:numId w:val="1071"/>
        </w:numPr>
        <w:pStyle w:val="Compact"/>
      </w:pPr>
      <w:r>
        <w:t xml:space="preserve">Transaction fee revenue</w:t>
      </w:r>
    </w:p>
    <w:p>
      <w:pPr>
        <w:numPr>
          <w:ilvl w:val="1"/>
          <w:numId w:val="1071"/>
        </w:numPr>
        <w:pStyle w:val="Compact"/>
      </w:pPr>
      <w:r>
        <w:t xml:space="preserve">Management fee tracking</w:t>
      </w:r>
    </w:p>
    <w:p>
      <w:pPr>
        <w:numPr>
          <w:ilvl w:val="1"/>
          <w:numId w:val="1071"/>
        </w:numPr>
        <w:pStyle w:val="Compact"/>
      </w:pPr>
      <w:r>
        <w:t xml:space="preserve">Platform growth metrics</w:t>
      </w:r>
    </w:p>
    <w:p>
      <w:pPr>
        <w:numPr>
          <w:ilvl w:val="0"/>
          <w:numId w:val="1070"/>
        </w:numPr>
        <w:pStyle w:val="Compact"/>
      </w:pPr>
      <w:r>
        <w:rPr>
          <w:bCs/>
          <w:b/>
        </w:rPr>
        <w:t xml:space="preserve">Investor Reports</w:t>
      </w:r>
    </w:p>
    <w:p>
      <w:pPr>
        <w:numPr>
          <w:ilvl w:val="1"/>
          <w:numId w:val="1072"/>
        </w:numPr>
        <w:pStyle w:val="Compact"/>
      </w:pPr>
      <w:r>
        <w:t xml:space="preserve">Individual portfolio performance</w:t>
      </w:r>
    </w:p>
    <w:p>
      <w:pPr>
        <w:numPr>
          <w:ilvl w:val="1"/>
          <w:numId w:val="1072"/>
        </w:numPr>
        <w:pStyle w:val="Compact"/>
      </w:pPr>
      <w:r>
        <w:t xml:space="preserve">Tax obligation estimation</w:t>
      </w:r>
    </w:p>
    <w:p>
      <w:pPr>
        <w:numPr>
          <w:ilvl w:val="1"/>
          <w:numId w:val="1072"/>
        </w:numPr>
        <w:pStyle w:val="Compact"/>
      </w:pPr>
      <w:r>
        <w:t xml:space="preserve">Dividend reinvestment analysis</w:t>
      </w:r>
    </w:p>
    <w:p>
      <w:pPr>
        <w:numPr>
          <w:ilvl w:val="1"/>
          <w:numId w:val="1072"/>
        </w:numPr>
        <w:pStyle w:val="Compact"/>
      </w:pPr>
      <w:r>
        <w:t xml:space="preserve">Portfolio diversification metrics</w:t>
      </w:r>
    </w:p>
    <w:p>
      <w:pPr>
        <w:numPr>
          <w:ilvl w:val="1"/>
          <w:numId w:val="1072"/>
        </w:numPr>
        <w:pStyle w:val="Compact"/>
      </w:pPr>
      <w:r>
        <w:t xml:space="preserve">Projected future returns</w:t>
      </w:r>
    </w:p>
    <w:bookmarkEnd w:id="59"/>
    <w:bookmarkEnd w:id="60"/>
    <w:bookmarkStart w:id="63" w:name="constraints-and-assumptions"/>
    <w:p>
      <w:pPr>
        <w:pStyle w:val="Heading2"/>
      </w:pPr>
      <w:r>
        <w:t xml:space="preserve">9. Constraints and Assumptions</w:t>
      </w:r>
    </w:p>
    <w:bookmarkStart w:id="61" w:name="constraints"/>
    <w:p>
      <w:pPr>
        <w:pStyle w:val="Heading3"/>
      </w:pPr>
      <w:r>
        <w:t xml:space="preserve">9.1 Constraints</w:t>
      </w:r>
    </w:p>
    <w:p>
      <w:pPr>
        <w:numPr>
          <w:ilvl w:val="0"/>
          <w:numId w:val="1073"/>
        </w:numPr>
        <w:pStyle w:val="Compact"/>
      </w:pPr>
      <w:r>
        <w:t xml:space="preserve">Must comply with all relevant financial regulations and securities laws</w:t>
      </w:r>
    </w:p>
    <w:p>
      <w:pPr>
        <w:numPr>
          <w:ilvl w:val="0"/>
          <w:numId w:val="1073"/>
        </w:numPr>
        <w:pStyle w:val="Compact"/>
      </w:pPr>
      <w:r>
        <w:t xml:space="preserve">Must integrate with specified payment processors</w:t>
      </w:r>
    </w:p>
    <w:p>
      <w:pPr>
        <w:numPr>
          <w:ilvl w:val="0"/>
          <w:numId w:val="1073"/>
        </w:numPr>
        <w:pStyle w:val="Compact"/>
      </w:pPr>
      <w:r>
        <w:t xml:space="preserve">Must support various ownership structures and dividend types</w:t>
      </w:r>
    </w:p>
    <w:p>
      <w:pPr>
        <w:numPr>
          <w:ilvl w:val="0"/>
          <w:numId w:val="1073"/>
        </w:numPr>
        <w:pStyle w:val="Compact"/>
      </w:pPr>
      <w:r>
        <w:t xml:space="preserve">Must accommodate different tax jurisdictions</w:t>
      </w:r>
    </w:p>
    <w:bookmarkEnd w:id="61"/>
    <w:bookmarkStart w:id="62" w:name="assumptions"/>
    <w:p>
      <w:pPr>
        <w:pStyle w:val="Heading3"/>
      </w:pPr>
      <w:r>
        <w:t xml:space="preserve">9.2 Assumptions</w:t>
      </w:r>
    </w:p>
    <w:p>
      <w:pPr>
        <w:numPr>
          <w:ilvl w:val="0"/>
          <w:numId w:val="1074"/>
        </w:numPr>
        <w:pStyle w:val="Compact"/>
      </w:pPr>
      <w:r>
        <w:t xml:space="preserve">Payment processing services will be reliable and responsive</w:t>
      </w:r>
    </w:p>
    <w:p>
      <w:pPr>
        <w:numPr>
          <w:ilvl w:val="0"/>
          <w:numId w:val="1074"/>
        </w:numPr>
        <w:pStyle w:val="Compact"/>
      </w:pPr>
      <w:r>
        <w:t xml:space="preserve">Property income data will be provided accurately and timely</w:t>
      </w:r>
    </w:p>
    <w:p>
      <w:pPr>
        <w:numPr>
          <w:ilvl w:val="0"/>
          <w:numId w:val="1074"/>
        </w:numPr>
        <w:pStyle w:val="Compact"/>
      </w:pPr>
      <w:r>
        <w:t xml:space="preserve">Tax regulations will remain relatively stable</w:t>
      </w:r>
    </w:p>
    <w:p>
      <w:pPr>
        <w:numPr>
          <w:ilvl w:val="0"/>
          <w:numId w:val="1074"/>
        </w:numPr>
        <w:pStyle w:val="Compact"/>
      </w:pPr>
      <w:r>
        <w:t xml:space="preserve">Investors will have necessary bank accounts or payment methods</w:t>
      </w:r>
    </w:p>
    <w:bookmarkEnd w:id="62"/>
    <w:bookmarkEnd w:id="63"/>
    <w:bookmarkStart w:id="66" w:name="appendices"/>
    <w:p>
      <w:pPr>
        <w:pStyle w:val="Heading2"/>
      </w:pPr>
      <w:r>
        <w:t xml:space="preserve">10. Appendices</w:t>
      </w:r>
    </w:p>
    <w:bookmarkStart w:id="64" w:name="glossary"/>
    <w:p>
      <w:pPr>
        <w:pStyle w:val="Heading3"/>
      </w:pPr>
      <w:r>
        <w:t xml:space="preserve">10.1 Glossary</w:t>
      </w:r>
    </w:p>
    <w:p>
      <w:pPr>
        <w:numPr>
          <w:ilvl w:val="0"/>
          <w:numId w:val="1075"/>
        </w:numPr>
        <w:pStyle w:val="Compact"/>
      </w:pPr>
      <w:r>
        <w:rPr>
          <w:bCs/>
          <w:b/>
        </w:rPr>
        <w:t xml:space="preserve">IRR</w:t>
      </w:r>
      <w:r>
        <w:t xml:space="preserve">: Internal Rate of Return</w:t>
      </w:r>
    </w:p>
    <w:p>
      <w:pPr>
        <w:numPr>
          <w:ilvl w:val="0"/>
          <w:numId w:val="1075"/>
        </w:numPr>
        <w:pStyle w:val="Compact"/>
      </w:pPr>
      <w:r>
        <w:rPr>
          <w:bCs/>
          <w:b/>
        </w:rPr>
        <w:t xml:space="preserve">ACH</w:t>
      </w:r>
      <w:r>
        <w:t xml:space="preserve">: Automated Clearing House</w:t>
      </w:r>
    </w:p>
    <w:p>
      <w:pPr>
        <w:numPr>
          <w:ilvl w:val="0"/>
          <w:numId w:val="1075"/>
        </w:numPr>
        <w:pStyle w:val="Compact"/>
      </w:pPr>
      <w:r>
        <w:rPr>
          <w:bCs/>
          <w:b/>
        </w:rPr>
        <w:t xml:space="preserve">KYC</w:t>
      </w:r>
      <w:r>
        <w:t xml:space="preserve">: Know Your Customer</w:t>
      </w:r>
    </w:p>
    <w:p>
      <w:pPr>
        <w:numPr>
          <w:ilvl w:val="0"/>
          <w:numId w:val="1075"/>
        </w:numPr>
        <w:pStyle w:val="Compact"/>
      </w:pPr>
      <w:r>
        <w:rPr>
          <w:bCs/>
          <w:b/>
        </w:rPr>
        <w:t xml:space="preserve">AML</w:t>
      </w:r>
      <w:r>
        <w:t xml:space="preserve">: Anti-Money Laundering</w:t>
      </w:r>
    </w:p>
    <w:p>
      <w:pPr>
        <w:numPr>
          <w:ilvl w:val="0"/>
          <w:numId w:val="1075"/>
        </w:numPr>
        <w:pStyle w:val="Compact"/>
      </w:pPr>
      <w:r>
        <w:rPr>
          <w:bCs/>
          <w:b/>
        </w:rPr>
        <w:t xml:space="preserve">Cash-on-Cash Return</w:t>
      </w:r>
      <w:r>
        <w:t xml:space="preserve">: Annual cash flow divided by total cash invested</w:t>
      </w:r>
    </w:p>
    <w:bookmarkEnd w:id="64"/>
    <w:bookmarkStart w:id="65" w:name="related-documents"/>
    <w:p>
      <w:pPr>
        <w:pStyle w:val="Heading3"/>
      </w:pPr>
      <w:r>
        <w:t xml:space="preserve">10.2 Related Documents</w:t>
      </w:r>
    </w:p>
    <w:p>
      <w:pPr>
        <w:numPr>
          <w:ilvl w:val="0"/>
          <w:numId w:val="1076"/>
        </w:numPr>
        <w:pStyle w:val="Compact"/>
      </w:pPr>
      <w:r>
        <w:t xml:space="preserve">Investment Flow Diagram</w:t>
      </w:r>
    </w:p>
    <w:p>
      <w:pPr>
        <w:numPr>
          <w:ilvl w:val="0"/>
          <w:numId w:val="1076"/>
        </w:numPr>
        <w:pStyle w:val="Compact"/>
      </w:pPr>
      <w:r>
        <w:t xml:space="preserve">Payment Processing Integration Specifications</w:t>
      </w:r>
    </w:p>
    <w:p>
      <w:pPr>
        <w:numPr>
          <w:ilvl w:val="0"/>
          <w:numId w:val="1076"/>
        </w:numPr>
        <w:pStyle w:val="Compact"/>
      </w:pPr>
      <w:r>
        <w:t xml:space="preserve">Dividend Distribution Process Flow</w:t>
      </w:r>
    </w:p>
    <w:p>
      <w:pPr>
        <w:numPr>
          <w:ilvl w:val="0"/>
          <w:numId w:val="1076"/>
        </w:numPr>
        <w:pStyle w:val="Compact"/>
      </w:pPr>
      <w:r>
        <w:t xml:space="preserve">Ownership Recording Data Schema</w:t>
      </w:r>
    </w:p>
    <w:p>
      <w:pPr>
        <w:numPr>
          <w:ilvl w:val="0"/>
          <w:numId w:val="1076"/>
        </w:numPr>
        <w:pStyle w:val="Compact"/>
      </w:pPr>
      <w:r>
        <w:t xml:space="preserve">Tax Document Templates</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2025-03-21T14:45:43Z</dcterms:created>
  <dcterms:modified xsi:type="dcterms:W3CDTF">2025-03-21T14:45:43Z</dcterms:modified>
</cp:coreProperties>
</file>

<file path=docProps/custom.xml><?xml version="1.0" encoding="utf-8"?>
<Properties xmlns="http://schemas.openxmlformats.org/officeDocument/2006/custom-properties" xmlns:vt="http://schemas.openxmlformats.org/officeDocument/2006/docPropsVTypes"/>
</file>