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3F2C40" w14:textId="77777777" w:rsidR="009F0DF0" w:rsidRDefault="00806C79">
      <w:pPr>
        <w:spacing w:after="200"/>
        <w:jc w:val="center"/>
      </w:pPr>
      <w:r>
        <w:rPr>
          <w:b/>
          <w:bCs/>
          <w:sz w:val="32"/>
          <w:szCs w:val="32"/>
        </w:rPr>
        <w:t>Comparing Classical and Deep Learning Approaches to Fake News Detection: A Diagnostic Study with Bag-of-Words and Recurrent Models</w:t>
      </w:r>
    </w:p>
    <w:p w14:paraId="233A3B52" w14:textId="77777777" w:rsidR="00EF03DF" w:rsidRDefault="00EF03DF">
      <w:pPr>
        <w:spacing w:after="240"/>
        <w:jc w:val="center"/>
        <w:rPr>
          <w:sz w:val="24"/>
          <w:szCs w:val="24"/>
        </w:rPr>
      </w:pPr>
      <w:r>
        <w:rPr>
          <w:sz w:val="24"/>
          <w:szCs w:val="24"/>
        </w:rPr>
        <w:t>Ezzedine Al Ozon</w:t>
      </w:r>
    </w:p>
    <w:p w14:paraId="5628258B" w14:textId="77777777" w:rsidR="00EF03DF" w:rsidRDefault="00EF03DF">
      <w:pPr>
        <w:spacing w:after="240"/>
        <w:jc w:val="center"/>
        <w:rPr>
          <w:sz w:val="24"/>
          <w:szCs w:val="24"/>
        </w:rPr>
      </w:pPr>
      <w:r>
        <w:rPr>
          <w:sz w:val="24"/>
          <w:szCs w:val="24"/>
        </w:rPr>
        <w:t>Lebanese American University</w:t>
      </w:r>
    </w:p>
    <w:p w14:paraId="5C169FDC" w14:textId="77777777" w:rsidR="00EF03DF" w:rsidRDefault="00EF03DF">
      <w:pPr>
        <w:spacing w:after="240"/>
        <w:jc w:val="center"/>
        <w:rPr>
          <w:sz w:val="24"/>
          <w:szCs w:val="24"/>
        </w:rPr>
      </w:pPr>
      <w:r>
        <w:rPr>
          <w:sz w:val="24"/>
          <w:szCs w:val="24"/>
        </w:rPr>
        <w:t>CSC 615</w:t>
      </w:r>
    </w:p>
    <w:p w14:paraId="6B50AF4C" w14:textId="6AFF950F" w:rsidR="009F0DF0" w:rsidRDefault="00EF03DF">
      <w:pPr>
        <w:spacing w:after="240"/>
        <w:jc w:val="center"/>
      </w:pPr>
      <w:r>
        <w:rPr>
          <w:sz w:val="24"/>
          <w:szCs w:val="24"/>
        </w:rPr>
        <w:t>ezzedine.alozon@lau.edu.lb</w:t>
      </w:r>
    </w:p>
    <w:p w14:paraId="1161E4C2" w14:textId="660ECDFC" w:rsidR="009F0DF0" w:rsidRDefault="00534C32">
      <w:pPr>
        <w:spacing w:before="200" w:after="100"/>
      </w:pPr>
      <w:r>
        <w:rPr>
          <w:b/>
          <w:bCs/>
        </w:rPr>
        <w:t>Abstract. The proliferation of fabricated news content online motivates automated detection, yet the growing complexity of available models, from simple bag-of-words classifiers to deep recurrent and transformer-based architectures, raises a practical question: do more sophisticated models yield meaningful gains, or do classical baselines remain competitive when carefully tuned and rigorously evaluated? We compare five binary classifiers, Multinomial Naive Bayes, Logistic Regression, Linear Support Vector Machine, XGBoost, and a Bidirectional Long Short-Term Memory (BiLSTM) network, on the William Lifferth Kaggle fake news corpus (20,543 deduplicated articles). Our methodology emphasizes evaluation discipline: stratified train/test splitting with deduplication, 5-fold cross-validation for hyperparameter selection, held-out test reporting only after model finalization, and a McNemar paired test on the top two competitors. Logistic Regression with TF-IDF features (max_features = 20,000, ngram_range = 1–2) achieves a test F1 of 0.9819 (accuracy 0.9817, MCC 0.9635), statistically tied with Linear SVM (test F1 = 0.9819) under McNemar (p ≈ 1.0; contingency 4030 / 4 / 4 / 71). The BiLSTM, despite GPU-accelerated training, intensive regularization, and a 500-token receptive field, plateaus at test F1 = 0.9589, approximately 2.3 F1 points below the linear models. Training and validation loss trajectories indicate that the BiLSTM begins overfitting from epoch 1 across all configurations explored, suggesting the bag-of-words representation is genuinely sufficient for this dataset. We discuss how the dataset's underlying statistical structure, particularly the strong stylistic separability of real and fake articles in TF-IDF space, explains why high-capacity sequential models offer no advantage. The work illustrates the methodological importance of strong, well-tuned classical baselines in NLP benchmarking.</w:t>
      </w:r>
    </w:p>
    <w:p w14:paraId="33E2F647" w14:textId="77777777" w:rsidR="009F0DF0" w:rsidRDefault="00806C79">
      <w:pPr>
        <w:pStyle w:val="Heading1"/>
      </w:pPr>
      <w:r>
        <w:t>1   Introduction</w:t>
      </w:r>
    </w:p>
    <w:p w14:paraId="62D26AE3" w14:textId="77777777" w:rsidR="00AB2D34" w:rsidRPr="00D245BC" w:rsidRDefault="00AB2D34">
      <w:pPr>
        <w:spacing w:after="120" w:line="276" w:lineRule="auto"/>
        <w:jc w:val="both"/>
      </w:pPr>
      <w:r w:rsidRPr="00D245BC">
        <w:t>The accelerating circulation of fabricated news content on digital platforms exceeds the capacity of human fact-checkers, motivating sustained interest in automated systems that distinguish genuine reporting from fabricated narratives on textual evidence alone. Fake news detection has become a canonical task in applied natural language processing, addressed by approaches ranging from lexical baselines through ensemble methods, deep recurrent networks, and transformer-based language models.</w:t>
      </w:r>
    </w:p>
    <w:p w14:paraId="333A18CF" w14:textId="77777777" w:rsidR="00AB2D34" w:rsidRPr="00D245BC" w:rsidRDefault="00AB2D34">
      <w:pPr>
        <w:spacing w:after="120" w:line="276" w:lineRule="auto"/>
        <w:jc w:val="both"/>
      </w:pPr>
      <w:r w:rsidRPr="00D245BC">
        <w:t xml:space="preserve">Despite this rich landscape, comparatively little applied work foregrounds whether computationally expensive architectures actually deliver substantively better performance than well-tuned classical models on standard benchmarks. Reported results often lack the methodological scaffolding required to evaluate them rigorously: cross-validated hyperparameter searches are sometimes omitted, train/test contamination through duplicates goes unaddressed, and statistical comparisons between top systems are rarely conducted. In domains where such scrutiny has been applied, for instance tabular learning, where Logistic Regression </w:t>
      </w:r>
      <w:r w:rsidRPr="00D245BC">
        <w:lastRenderedPageBreak/>
        <w:t>and Gradient Boosting frequently match or exceed deep approaches, the resulting findings have meaningfully reshaped practitioner expectations.</w:t>
      </w:r>
    </w:p>
    <w:p w14:paraId="2D515D1E" w14:textId="5E62C26D" w:rsidR="00AB2D34" w:rsidRPr="00D245BC" w:rsidRDefault="00AB2D34">
      <w:pPr>
        <w:spacing w:after="120" w:line="276" w:lineRule="auto"/>
        <w:jc w:val="both"/>
      </w:pPr>
      <w:r w:rsidRPr="00D245BC">
        <w:t>This paper presents a systematic comparison of five classification approaches on a public fake news detection dataset, with explicit attention to evaluation discipline. The five models span the methodological spectrum: a generative probabilistic baseline (Multinomial Naive Bayes), two discriminative linear classifiers (Logistic Regression, Linear Support Vector Machine), a non-linear ensemble (XGBoost gradient boosting), and a Bidirectional Long Short-Term Memory recurrent network. The classical models receive sparse TF-IDF representations encoding unigrams and bigrams; the BiLSTM operates on padded integer-token sequences with a learned dense embedding. All models are evaluated on a common held-out test set with hyperparameters selected exclusively through 5-fold stratified cross-validation on the training partition, and the top two systems are compared using McNemar</w:t>
      </w:r>
      <w:r w:rsidR="00163A66">
        <w:t>'</w:t>
      </w:r>
      <w:r w:rsidRPr="00D245BC">
        <w:t>s paired test for proportions.</w:t>
      </w:r>
    </w:p>
    <w:p w14:paraId="6482A7AE" w14:textId="77777777" w:rsidR="00AB2D34" w:rsidRPr="00D245BC" w:rsidRDefault="00AB2D34">
      <w:pPr>
        <w:spacing w:after="120" w:line="276" w:lineRule="auto"/>
        <w:jc w:val="both"/>
      </w:pPr>
      <w:r w:rsidRPr="00D245BC">
        <w:t>Our principal finding is that Logistic Regression and Linear SVM with TF-IDF features achieve essentially indistinguishable test performance (F1 = 0.9819 for both, McNemar p ≈ 1.000), exceeding the BiLSTM by approximately 2.3 F1 points despite extensive regularization and architectural tuning of the recurrent model. Diagnostic analysis of training trajectories reveals that the BiLSTM begins overfitting from the first epoch across all configurations explored, indicating that the inductive bias of sequential modeling yields no additional usable signal beyond what sparse high-dimensional bag-of-words features capture. This outcome reflects genuine properties of the data, specifically the strong stylistic separability of real and fabricated content in TF-IDF space, rather than under-training or insufficient capacity in the recurrent model.</w:t>
      </w:r>
    </w:p>
    <w:p w14:paraId="3AAE079F" w14:textId="28BAF917" w:rsidR="009F0DF0" w:rsidRDefault="00AB2D34">
      <w:pPr>
        <w:spacing w:after="120" w:line="276" w:lineRule="auto"/>
        <w:jc w:val="both"/>
      </w:pPr>
      <w:r w:rsidRPr="00D245BC">
        <w:t>Beyond the headline comparison, the paper contributes a methodological case study in diagnostic evaluation. We document the iterative process by which several initially undetected issues, including train/test leakage from duplicate articles, severe sequence truncation from an under-sized receptive field, and inadvertent CPU fallback during deep model training, were identified and corrected, reporting results both before and after each correction. This style of instrumented benchmarking is more informative than single-shot reporting, particularly where dataset artifacts are common and the apparent gap between methods may be smaller than experimental noise.</w:t>
      </w:r>
    </w:p>
    <w:p w14:paraId="41672592" w14:textId="77777777" w:rsidR="009F0DF0" w:rsidRDefault="00806C79">
      <w:pPr>
        <w:pStyle w:val="Heading1"/>
      </w:pPr>
      <w:r>
        <w:t>2   Literature Review</w:t>
      </w:r>
    </w:p>
    <w:p w14:paraId="4D6056CA" w14:textId="199BE6D4" w:rsidR="00F62D54" w:rsidRDefault="00F62D54" w:rsidP="00F62D54">
      <w:pPr>
        <w:shd w:val="clear" w:color="auto" w:fill="FFF4E6"/>
        <w:spacing w:after="120" w:line="276" w:lineRule="auto"/>
        <w:jc w:val="both"/>
        <w:rPr>
          <w:iCs/>
          <w:color w:val="000000"/>
        </w:rPr>
      </w:pPr>
      <w:r w:rsidRPr="00F62D54">
        <w:rPr>
          <w:iCs/>
          <w:color w:val="000000"/>
        </w:rPr>
        <w:t xml:space="preserve">Automated detection of fake news has been studied as a text-classification problem since the proliferation of social-media-driven misinformation in the mid-2010s. Early surveys (Shu et al., 2017) frame the task as distinguishing intentionally fabricated articles from legitimate journalism using surface-level lexical, stylistic, and source-based features. Subsequent work has expanded the framing to include click-bait detection, rumor verification, and stance classification, but the core supervised-learning formulation </w:t>
      </w:r>
      <w:r w:rsidR="006E508F" w:rsidRPr="006E508F">
        <w:rPr>
          <w:iCs/>
          <w:color w:val="000000"/>
        </w:rPr>
        <w:t>(</w:t>
      </w:r>
      <w:r w:rsidRPr="00F62D54">
        <w:rPr>
          <w:iCs/>
          <w:color w:val="000000"/>
        </w:rPr>
        <w:t>given an article body, predict a binary or multi-class veracity label</w:t>
      </w:r>
      <w:r w:rsidR="006E508F" w:rsidRPr="006E508F">
        <w:rPr>
          <w:iCs/>
          <w:color w:val="000000"/>
        </w:rPr>
        <w:t>)</w:t>
      </w:r>
      <w:r w:rsidRPr="00F62D54">
        <w:rPr>
          <w:iCs/>
          <w:color w:val="000000"/>
        </w:rPr>
        <w:t xml:space="preserve"> remains the dominant paradigm in the benchmark literature.</w:t>
      </w:r>
    </w:p>
    <w:p w14:paraId="1AD5DBDF" w14:textId="1C9BD2FC" w:rsidR="00F62D54" w:rsidRDefault="00F62D54" w:rsidP="00F62D54">
      <w:pPr>
        <w:spacing w:line="276" w:lineRule="auto"/>
        <w:jc w:val="both"/>
        <w:rPr>
          <w:color w:val="000000"/>
        </w:rPr>
      </w:pPr>
      <w:r w:rsidRPr="00F62D54">
        <w:rPr>
          <w:color w:val="000000"/>
        </w:rPr>
        <w:t>Classical approaches rely on sparse bag-of-words representations combined with linear or tree-based classifiers. TF-IDF weighting (Manning, Raghavan, &amp; Schütze, 2008) remains a remarkably strong baseline: Conroy, Rubin, and Chen (2015) report that simple n-gram features with logistic regression are competitive with substantially more complex models on several public datasets. The persistence of these baselines is partly explained by the stylistic regularities of fabricated content</w:t>
      </w:r>
      <w:r w:rsidR="006E508F" w:rsidRPr="006E508F">
        <w:rPr>
          <w:color w:val="000000"/>
        </w:rPr>
        <w:t>, such as</w:t>
      </w:r>
      <w:r w:rsidRPr="00F62D54">
        <w:rPr>
          <w:color w:val="000000"/>
        </w:rPr>
        <w:t xml:space="preserve"> repeated sensational vocabulary, characteristic punctuation, and limited topical breadth</w:t>
      </w:r>
      <w:r w:rsidR="006E508F" w:rsidRPr="006E508F">
        <w:rPr>
          <w:color w:val="000000"/>
        </w:rPr>
        <w:t>,</w:t>
      </w:r>
      <w:r w:rsidRPr="00F62D54">
        <w:rPr>
          <w:color w:val="000000"/>
        </w:rPr>
        <w:t xml:space="preserve"> which sparse features capture directly without requiring distributed semantic representations.</w:t>
      </w:r>
    </w:p>
    <w:p w14:paraId="2D894936" w14:textId="77777777" w:rsidR="00F62D54" w:rsidRDefault="00F62D54" w:rsidP="00F62D54">
      <w:pPr>
        <w:spacing w:line="276" w:lineRule="auto"/>
        <w:jc w:val="both"/>
        <w:rPr>
          <w:color w:val="000000"/>
        </w:rPr>
      </w:pPr>
      <w:r w:rsidRPr="00F62D54">
        <w:rPr>
          <w:color w:val="000000"/>
        </w:rPr>
        <w:lastRenderedPageBreak/>
        <w:t>Deep-learning approaches replace hand-engineered features with learned representations. Convolutional and recurrent architectures applied to pre-trained word embeddings (Kim, 2014; Hochreiter &amp; Schmidhuber, 1997) demonstrated improvements on sentiment and topic classification that motivated their adoption for fake-news detection. More recently, transformer-based encoders such as BERT (Devlin et al., 2019) have set the state of the art on many text-classification benchmarks, including fake-news corpora, by leveraging large-scale unsupervised pre-training. Reported gains over linear baselines, however, are often modest on moderately sized datasets, and the variance attributable to random seeds and hyper-parameter choices is frequently of the same order as the gap between model families.</w:t>
      </w:r>
    </w:p>
    <w:p w14:paraId="0AB25F85" w14:textId="5EF3AE24" w:rsidR="00F62D54" w:rsidRDefault="00F62D54" w:rsidP="00F62D54">
      <w:pPr>
        <w:spacing w:line="276" w:lineRule="auto"/>
        <w:jc w:val="both"/>
        <w:rPr>
          <w:color w:val="000000"/>
        </w:rPr>
      </w:pPr>
      <w:r w:rsidRPr="00F62D54">
        <w:rPr>
          <w:color w:val="000000"/>
        </w:rPr>
        <w:t xml:space="preserve">Evaluation methodology in NLP benchmarking has received increasing scrutiny. Reimers and Gurevych (2017) document that single-run accuracy comparisons are unreliable for neural architectures, and Dror et al. (2018) argue that statistical significance testing is under-applied in published comparisons. Dietterich (1998) provides the canonical analysis of approximate statistical tests for classifier comparison and recommends McNemar's test for paired predictions on a held-out set. These works collectively motivate a careful experimental protocol </w:t>
      </w:r>
      <w:r w:rsidR="006E508F" w:rsidRPr="006E508F">
        <w:rPr>
          <w:color w:val="000000"/>
        </w:rPr>
        <w:t>(</w:t>
      </w:r>
      <w:r w:rsidRPr="00F62D54">
        <w:rPr>
          <w:color w:val="000000"/>
        </w:rPr>
        <w:t>fixed splits, multiple seeds, and explicit significance tests</w:t>
      </w:r>
      <w:r w:rsidR="006E508F" w:rsidRPr="006E508F">
        <w:rPr>
          <w:color w:val="000000"/>
        </w:rPr>
        <w:t>)</w:t>
      </w:r>
      <w:r w:rsidRPr="00F62D54">
        <w:rPr>
          <w:color w:val="000000"/>
        </w:rPr>
        <w:t xml:space="preserve"> when claiming improvements over a baseline.</w:t>
      </w:r>
    </w:p>
    <w:p w14:paraId="2D191E78" w14:textId="4A8960AC" w:rsidR="009F0DF0" w:rsidRPr="00F62D54" w:rsidRDefault="00F62D54" w:rsidP="00F62D54">
      <w:pPr>
        <w:spacing w:line="276" w:lineRule="auto"/>
        <w:jc w:val="both"/>
        <w:rPr>
          <w:color w:val="000000"/>
        </w:rPr>
      </w:pPr>
      <w:r w:rsidRPr="00F62D54">
        <w:rPr>
          <w:color w:val="000000"/>
        </w:rPr>
        <w:t xml:space="preserve">The present work sits within this evaluation-focused tradition. Rather than proposing a novel architecture, we ask whether the gains reported for deep models over linear baselines on a public fake-news corpus are robust to the methodological controls recommended above. We treat a TF-IDF + logistic-regression pipeline as a strong baseline </w:t>
      </w:r>
      <w:r w:rsidR="00163A66" w:rsidRPr="00163A66">
        <w:rPr>
          <w:color w:val="000000"/>
        </w:rPr>
        <w:t>on the Lifferth (2018) corpus</w:t>
      </w:r>
      <w:r w:rsidRPr="00F62D54">
        <w:rPr>
          <w:color w:val="000000"/>
        </w:rPr>
        <w:t xml:space="preserve">, and we compare it against gradient-boosted trees (Chen &amp; Guestrin, 2016) and a BiLSTM with </w:t>
      </w:r>
      <w:r w:rsidR="00163A66" w:rsidRPr="00163A66">
        <w:rPr>
          <w:color w:val="000000"/>
        </w:rPr>
        <w:t>a learned embedding layer</w:t>
      </w:r>
      <w:r w:rsidRPr="00F62D54">
        <w:rPr>
          <w:color w:val="000000"/>
        </w:rPr>
        <w:t>, using the scikit-learn (Pedregosa et al., 2011) and standard deep-learning toolchains. Section 3 details the protocol; Section 4 reports the results.</w:t>
      </w:r>
    </w:p>
    <w:p w14:paraId="37B29F8F" w14:textId="77777777" w:rsidR="009F0DF0" w:rsidRDefault="00806C79">
      <w:pPr>
        <w:pStyle w:val="Heading1"/>
      </w:pPr>
      <w:r>
        <w:t>3   Methodology</w:t>
      </w:r>
    </w:p>
    <w:p w14:paraId="5AA0131B" w14:textId="12B7B0AB" w:rsidR="009F0DF0" w:rsidRDefault="009F0DF0">
      <w:pPr>
        <w:spacing w:after="120" w:line="276" w:lineRule="auto"/>
        <w:jc w:val="both"/>
      </w:pPr>
    </w:p>
    <w:p w14:paraId="6E50080D" w14:textId="77777777" w:rsidR="009F0DF0" w:rsidRDefault="00806C79">
      <w:pPr>
        <w:pStyle w:val="Heading2"/>
      </w:pPr>
      <w:r>
        <w:t>3.1   Dataset</w:t>
      </w:r>
    </w:p>
    <w:p w14:paraId="0DF8507F" w14:textId="4BA31AB5" w:rsidR="00D245BC" w:rsidRPr="00D245BC" w:rsidRDefault="006E3071">
      <w:pPr>
        <w:spacing w:after="120" w:line="276" w:lineRule="auto"/>
        <w:jc w:val="both"/>
      </w:pPr>
      <w:r w:rsidRPr="006E3071">
        <w:t>The dataset is the William Lifferth fake news corpus (</w:t>
      </w:r>
      <w:r w:rsidR="008C29D7">
        <w:t>Lifferth, 2018</w:t>
      </w:r>
      <w:r w:rsidRPr="006E3071">
        <w:t>): 20,800 articles with numeric identifier, title, author, and body fields, annotated with binary labels. We obtained it through a public GitHub mirror (AnitaKatuwal04/Fake_news_detection), identical in schema and content to the official release. The source assigns 1 to fake and 0 to reliable; we invert at preprocessing so 1 denotes real, aligning with the convention that the positive class denotes the entity of interest. This has no effect on symmetric metrics but influences the interpretation of false positives and false negatives in error analysis.</w:t>
      </w:r>
    </w:p>
    <w:p w14:paraId="6D72D0E0" w14:textId="09AD0D5A" w:rsidR="009F0DF0" w:rsidRDefault="00D245BC">
      <w:pPr>
        <w:spacing w:after="120" w:line="276" w:lineRule="auto"/>
        <w:jc w:val="both"/>
      </w:pPr>
      <w:r w:rsidRPr="00D245BC">
        <w:t>After inversion, the corpus contains 10,387 real and 10,326 fake articles, a near-balanced distribution. Article lengths vary substantially: many fabricated articles are very short (under 100 tokens), while real articles often exceed 1,000 tokens</w:t>
      </w:r>
      <w:r w:rsidR="008B1337" w:rsidRPr="008B1337">
        <w:t>, an</w:t>
      </w:r>
      <w:r w:rsidRPr="00D245BC">
        <w:t xml:space="preserve"> asymmetry itself potentially exploitable as a feature, though </w:t>
      </w:r>
      <w:r w:rsidR="008B1337" w:rsidRPr="008B1337">
        <w:t>the</w:t>
      </w:r>
      <w:r w:rsidRPr="00D245BC">
        <w:t xml:space="preserve"> cleaning steps below partially mitigate it.</w:t>
      </w:r>
    </w:p>
    <w:p w14:paraId="68C41A88" w14:textId="68BC5673" w:rsidR="009F0DF0" w:rsidRDefault="00453079">
      <w:pPr>
        <w:shd w:val="clear" w:color="auto" w:fill="F5F5F5"/>
        <w:spacing w:before="200" w:after="80"/>
        <w:jc w:val="center"/>
      </w:pPr>
      <w:r>
        <w:rPr>
          <w:noProof/>
        </w:rPr>
        <w:lastRenderedPageBreak/>
        <w:drawing>
          <wp:inline distT="0" distB="0" distL="0" distR="0" wp14:anchorId="1C4D744A" wp14:editId="3BBDD605">
            <wp:extent cx="5943600" cy="3359150"/>
            <wp:effectExtent l="0" t="0" r="0" b="0"/>
            <wp:docPr id="380464371" name="Picture 1" descr="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64371" name="Picture 1" descr="Figure 2"/>
                    <pic:cNvPicPr/>
                  </pic:nvPicPr>
                  <pic:blipFill>
                    <a:blip r:embed="rId10">
                      <a:extLst>
                        <a:ext uri="{28A0092B-C50C-407E-A947-70E740481C1C}">
                          <a14:useLocalDpi xmlns:a14="http://schemas.microsoft.com/office/drawing/2010/main" val="0"/>
                        </a:ext>
                      </a:extLst>
                    </a:blip>
                    <a:stretch>
                      <a:fillRect/>
                    </a:stretch>
                  </pic:blipFill>
                  <pic:spPr>
                    <a:xfrm>
                      <a:off x="0" y="0"/>
                      <a:ext cx="5943600" cy="3359150"/>
                    </a:xfrm>
                    <a:prstGeom prst="rect">
                      <a:avLst/>
                    </a:prstGeom>
                  </pic:spPr>
                </pic:pic>
              </a:graphicData>
            </a:graphic>
          </wp:inline>
        </w:drawing>
      </w:r>
    </w:p>
    <w:p w14:paraId="463AC8AB" w14:textId="77243866" w:rsidR="009F0DF0" w:rsidRDefault="006B27DB">
      <w:pPr>
        <w:spacing w:after="160"/>
        <w:jc w:val="center"/>
      </w:pPr>
      <w:r>
        <w:rPr>
          <w:b/>
          <w:bCs/>
          <w:sz w:val="20"/>
          <w:szCs w:val="20"/>
        </w:rPr>
        <w:t>Fig. 1. Class distribution after preprocessing.</w:t>
      </w:r>
      <w:r w:rsidR="00806C79">
        <w:rPr>
          <w:sz w:val="20"/>
          <w:szCs w:val="20"/>
        </w:rPr>
        <w:t xml:space="preserve"> The dataset is approximately balanced.</w:t>
      </w:r>
    </w:p>
    <w:p w14:paraId="58312C39" w14:textId="7A17BA32" w:rsidR="009F0DF0" w:rsidRDefault="00453079">
      <w:pPr>
        <w:shd w:val="clear" w:color="auto" w:fill="F5F5F5"/>
        <w:spacing w:before="200" w:after="80"/>
        <w:jc w:val="center"/>
      </w:pPr>
      <w:r>
        <w:rPr>
          <w:noProof/>
        </w:rPr>
        <w:drawing>
          <wp:inline distT="0" distB="0" distL="0" distR="0" wp14:anchorId="3A000731" wp14:editId="5903910B">
            <wp:extent cx="5943600" cy="2945130"/>
            <wp:effectExtent l="0" t="0" r="0" b="7620"/>
            <wp:docPr id="101886862" name="Picture 2" descr="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86862" name="Picture 2" descr="Figure 3"/>
                    <pic:cNvPicPr/>
                  </pic:nvPicPr>
                  <pic:blipFill>
                    <a:blip r:embed="rId11">
                      <a:extLst>
                        <a:ext uri="{28A0092B-C50C-407E-A947-70E740481C1C}">
                          <a14:useLocalDpi xmlns:a14="http://schemas.microsoft.com/office/drawing/2010/main" val="0"/>
                        </a:ext>
                      </a:extLst>
                    </a:blip>
                    <a:stretch>
                      <a:fillRect/>
                    </a:stretch>
                  </pic:blipFill>
                  <pic:spPr>
                    <a:xfrm>
                      <a:off x="0" y="0"/>
                      <a:ext cx="5943600" cy="2945130"/>
                    </a:xfrm>
                    <a:prstGeom prst="rect">
                      <a:avLst/>
                    </a:prstGeom>
                  </pic:spPr>
                </pic:pic>
              </a:graphicData>
            </a:graphic>
          </wp:inline>
        </w:drawing>
      </w:r>
    </w:p>
    <w:p w14:paraId="717A7A52" w14:textId="1B45DC97" w:rsidR="009F0DF0" w:rsidRDefault="006B27DB">
      <w:pPr>
        <w:spacing w:after="160"/>
        <w:jc w:val="center"/>
      </w:pPr>
      <w:r>
        <w:rPr>
          <w:b/>
          <w:bCs/>
          <w:sz w:val="20"/>
          <w:szCs w:val="20"/>
        </w:rPr>
        <w:t>Fig. 2. Distribution of article length</w:t>
      </w:r>
      <w:r w:rsidR="00806C79">
        <w:rPr>
          <w:sz w:val="20"/>
          <w:szCs w:val="20"/>
        </w:rPr>
        <w:t xml:space="preserve"> (in raw tokens) by class, truncated at 2,000 words. Fake articles exhibit a heavy concentration of very short documents, while real articles span a broader range.</w:t>
      </w:r>
    </w:p>
    <w:p w14:paraId="02B3800C" w14:textId="77777777" w:rsidR="009F0DF0" w:rsidRDefault="00806C79">
      <w:pPr>
        <w:pStyle w:val="Heading2"/>
      </w:pPr>
      <w:r>
        <w:t>3.2   Text Preprocessing</w:t>
      </w:r>
    </w:p>
    <w:p w14:paraId="75F52C8B" w14:textId="67E74E0A" w:rsidR="004514E5" w:rsidRPr="004514E5" w:rsidRDefault="006E3071">
      <w:pPr>
        <w:spacing w:after="120" w:line="276" w:lineRule="auto"/>
        <w:jc w:val="both"/>
      </w:pPr>
      <w:r w:rsidRPr="006E3071">
        <w:t xml:space="preserve">Articles are processed through a uniform cleaning pipeline before feature extraction, implemented in Python with NLTK (Bird, Klein, </w:t>
      </w:r>
      <w:r w:rsidR="008C29D7">
        <w:t xml:space="preserve">&amp; Loper, </w:t>
      </w:r>
      <w:r w:rsidRPr="006E3071">
        <w:t xml:space="preserve">2009) for stopword filtering and stemming. The title and body fields are concatenated (title prepended, single-space separator); the author field is deliberately excluded </w:t>
      </w:r>
      <w:r w:rsidRPr="006E3071">
        <w:lastRenderedPageBreak/>
        <w:t>because preliminary experiments showed that including author names produced suspiciously high accuracy via identity-based leakage (authors recurring across train and test).</w:t>
      </w:r>
    </w:p>
    <w:p w14:paraId="35570548" w14:textId="62FDDC4E" w:rsidR="004514E5" w:rsidRPr="004514E5" w:rsidRDefault="0004110E">
      <w:pPr>
        <w:spacing w:after="120" w:line="276" w:lineRule="auto"/>
        <w:jc w:val="both"/>
      </w:pPr>
      <w:r w:rsidRPr="0004110E">
        <w:t>The text is then lowercased; URLs stripped via regex on common prefixes; punctuation and digits removed; the residue whitespace-tokenized; NLTK English stopwords (~180 function words) filtered out; and each remaining token Porter-stemmed.</w:t>
      </w:r>
    </w:p>
    <w:p w14:paraId="3E43C6B7" w14:textId="775FEE8F" w:rsidR="009F0DF0" w:rsidRDefault="008B1337">
      <w:pPr>
        <w:spacing w:after="120" w:line="276" w:lineRule="auto"/>
        <w:jc w:val="both"/>
      </w:pPr>
      <w:r w:rsidRPr="008B1337">
        <w:t>Two document-level cleaning steps follow: articles whose cleaned text is empty (typically those consisting only of stopwords, numbers, or non-alphabetic characters) are removed, and exact cleaned-text duplicates are dropped via pandas' drop_duplicates. The second step is critical: an initial run without deduplication showed 44 test articles whose cleaned text was identical to training articles, inflating test scores through memorization. Deduplicating before splitting eliminates this leakage entirely; the pass removed 170 articles, yielding a final corpus of 20,543 with class balance approximately preserved.</w:t>
      </w:r>
    </w:p>
    <w:p w14:paraId="492B2722" w14:textId="77777777" w:rsidR="009F0DF0" w:rsidRDefault="00806C79">
      <w:pPr>
        <w:pStyle w:val="Heading2"/>
      </w:pPr>
      <w:r>
        <w:t>3.3   Feature Representation</w:t>
      </w:r>
    </w:p>
    <w:p w14:paraId="1789163A" w14:textId="77777777" w:rsidR="009F0DF0" w:rsidRDefault="00806C79">
      <w:pPr>
        <w:pStyle w:val="Heading3"/>
      </w:pPr>
      <w:r>
        <w:t>TF-IDF features for classical models.</w:t>
      </w:r>
    </w:p>
    <w:p w14:paraId="38042D84" w14:textId="13FA0ED5" w:rsidR="009F0DF0" w:rsidRDefault="006E3071">
      <w:pPr>
        <w:spacing w:after="120" w:line="276" w:lineRule="auto"/>
        <w:jc w:val="both"/>
      </w:pPr>
      <w:r w:rsidRPr="006E3071">
        <w:t>For Naive Bayes, Logistic Regression, Linear SVM, and XGBoost, each cleaned article is represented as a sparse TF-IDF vector via scikit-learn's TfidfVectorizer (max_features = 20,000, ngram_range = (1, 2), min_df = 5, max_df = 0.7, sublinear_tf = True)</w:t>
      </w:r>
      <w:r w:rsidR="008C29D7">
        <w:t>, following the standard TF-IDF formulation of Manning, Raghavan, and Schütze (2008)</w:t>
      </w:r>
      <w:r w:rsidRPr="006E3071">
        <w:t>. Bigrams encode multi-word expressions ("white house", "election day", "fake news") whose joint occurrence is more informative than their constituents; min_df = 5 drops noisy misspellings and rare proper nouns; max_df = 0.7 drops ubiquitous terms with no discriminative power. The vectorizer is fit on the training partition only and then applied to the test partition, preventing leakage of test-set vocabulary or document-frequency statistics into the feature space.</w:t>
      </w:r>
    </w:p>
    <w:p w14:paraId="1352F2B4" w14:textId="77777777" w:rsidR="009F0DF0" w:rsidRDefault="00806C79">
      <w:pPr>
        <w:pStyle w:val="Heading3"/>
      </w:pPr>
      <w:r>
        <w:t>Tokenized sequences for the BiLSTM.</w:t>
      </w:r>
    </w:p>
    <w:p w14:paraId="7035A8D9" w14:textId="106DEB9E" w:rsidR="009F0DF0" w:rsidRDefault="006E3071">
      <w:pPr>
        <w:spacing w:after="120" w:line="276" w:lineRule="auto"/>
        <w:jc w:val="both"/>
      </w:pPr>
      <w:r w:rsidRPr="006E3071">
        <w:t>For the BiLSTM, the cleaned text is tokenized via Keras' Tokenizer (vocab = 20,000, matching TF-IDF for fairness); OOV tokens map to a single index. Integer sequences are post-padded or truncated to MAX_LEN = 500. The training-partition length distribution has median 311 tokens, mean 421, 95th percentile 1,034, maximum approximately 12,000; at MAX_LEN = 500 approximately 31.5% of articles are truncated. An earlier MAX_LEN = 300 truncated 51.4% of articles and underperformed; larger values were rejected on training cost (doubling MAX_LEN approximately doubles forward-pass time per epoch, with diminishing returns beyond 500).</w:t>
      </w:r>
    </w:p>
    <w:p w14:paraId="559B7548" w14:textId="77777777" w:rsidR="009F0DF0" w:rsidRDefault="00806C79">
      <w:pPr>
        <w:pStyle w:val="Heading2"/>
      </w:pPr>
      <w:r>
        <w:t>3.4   Model Architectures and Training</w:t>
      </w:r>
    </w:p>
    <w:p w14:paraId="47EF2D16" w14:textId="37C366D1" w:rsidR="009F0DF0" w:rsidRDefault="00BB15FE">
      <w:pPr>
        <w:spacing w:after="120" w:line="276" w:lineRule="auto"/>
        <w:jc w:val="both"/>
      </w:pPr>
      <w:r w:rsidRPr="00BB15FE">
        <w:t>We compare five classifiers spanning a range of model classes. The four classical models use scikit-learn (</w:t>
      </w:r>
      <w:r w:rsidR="008C29D7">
        <w:t xml:space="preserve">Pedregosa et al., 2011), </w:t>
      </w:r>
      <w:r w:rsidRPr="00BB15FE">
        <w:t xml:space="preserve">with XGBoost </w:t>
      </w:r>
      <w:r w:rsidR="008C29D7">
        <w:t xml:space="preserve">(Chen &amp; Guestrin, 2016) </w:t>
      </w:r>
      <w:r w:rsidRPr="00BB15FE">
        <w:t>via the xgboost package; the BiLSTM uses TensorFlow / Keras. Hyperparameters are selected via 5-fold stratified cross-validation on the training partition, with held-out fold F1 as the selection criterion.</w:t>
      </w:r>
    </w:p>
    <w:p w14:paraId="3DA18E58" w14:textId="77777777" w:rsidR="009F0DF0" w:rsidRDefault="00806C79">
      <w:pPr>
        <w:pStyle w:val="Heading3"/>
      </w:pPr>
      <w:r>
        <w:t>Multinomial Naive Bayes.</w:t>
      </w:r>
    </w:p>
    <w:p w14:paraId="79DE8847" w14:textId="63A890F1" w:rsidR="009F0DF0" w:rsidRDefault="00555811">
      <w:pPr>
        <w:spacing w:after="120" w:line="276" w:lineRule="auto"/>
        <w:jc w:val="both"/>
      </w:pPr>
      <w:r w:rsidRPr="00555811">
        <w:t xml:space="preserve">A Multinomial Naive Bayes classifier with Laplace (additive) smoothing serves as the simplest baseline; despite the strong conditional-independence assumption, Naive Bayes performs well on text classification owing to the high dimensionality of the input and the near-orthogonality of class-conditional word </w:t>
      </w:r>
      <w:r w:rsidRPr="00555811">
        <w:lastRenderedPageBreak/>
        <w:t xml:space="preserve">distributions. alpha </w:t>
      </w:r>
      <w:r w:rsidRPr="00555811">
        <w:rPr>
          <w:rFonts w:ascii="Cambria Math" w:hAnsi="Cambria Math" w:cs="Cambria Math"/>
        </w:rPr>
        <w:t>∈</w:t>
      </w:r>
      <w:r w:rsidRPr="00555811">
        <w:t xml:space="preserve"> {3, 1, 0.1, 0.01, 0.001, 0.0001}; selected alpha = 0.0001 (CV F1 = 0.9394). </w:t>
      </w:r>
      <w:r w:rsidR="006B27DB" w:rsidRPr="006B27DB">
        <w:t>Fig. 3 shows CV F1 vs. alpha.</w:t>
      </w:r>
    </w:p>
    <w:p w14:paraId="691F027A" w14:textId="3CAC1E40" w:rsidR="009F0DF0" w:rsidRDefault="00453079">
      <w:pPr>
        <w:shd w:val="clear" w:color="auto" w:fill="F5F5F5"/>
        <w:spacing w:before="200" w:after="80"/>
        <w:jc w:val="center"/>
      </w:pPr>
      <w:r>
        <w:rPr>
          <w:noProof/>
        </w:rPr>
        <w:drawing>
          <wp:inline distT="0" distB="0" distL="0" distR="0" wp14:anchorId="321160E8" wp14:editId="34D88DCD">
            <wp:extent cx="5943600" cy="2934335"/>
            <wp:effectExtent l="0" t="0" r="0" b="0"/>
            <wp:docPr id="2084215925" name="Picture 3" descr="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215925" name="Picture 3" descr="Figure 4"/>
                    <pic:cNvPicPr/>
                  </pic:nvPicPr>
                  <pic:blipFill>
                    <a:blip r:embed="rId12">
                      <a:extLst>
                        <a:ext uri="{28A0092B-C50C-407E-A947-70E740481C1C}">
                          <a14:useLocalDpi xmlns:a14="http://schemas.microsoft.com/office/drawing/2010/main" val="0"/>
                        </a:ext>
                      </a:extLst>
                    </a:blip>
                    <a:stretch>
                      <a:fillRect/>
                    </a:stretch>
                  </pic:blipFill>
                  <pic:spPr>
                    <a:xfrm>
                      <a:off x="0" y="0"/>
                      <a:ext cx="5943600" cy="2934335"/>
                    </a:xfrm>
                    <a:prstGeom prst="rect">
                      <a:avLst/>
                    </a:prstGeom>
                  </pic:spPr>
                </pic:pic>
              </a:graphicData>
            </a:graphic>
          </wp:inline>
        </w:drawing>
      </w:r>
    </w:p>
    <w:p w14:paraId="65AEF7BB" w14:textId="7BFE015E" w:rsidR="009F0DF0" w:rsidRDefault="006B27DB">
      <w:pPr>
        <w:spacing w:after="160"/>
        <w:jc w:val="center"/>
      </w:pPr>
      <w:r>
        <w:rPr>
          <w:b/>
          <w:bCs/>
          <w:sz w:val="20"/>
          <w:szCs w:val="20"/>
        </w:rPr>
        <w:t>Fig. 3. Cross-validated F1 score for Multinomial Naive Bayes</w:t>
      </w:r>
      <w:r w:rsidR="00806C79">
        <w:rPr>
          <w:sz w:val="20"/>
          <w:szCs w:val="20"/>
        </w:rPr>
        <w:t xml:space="preserve"> as a function of the Laplace smoothing parameter alpha. Performance increases monotonically as alpha decreases, plateauing at very small values.</w:t>
      </w:r>
    </w:p>
    <w:p w14:paraId="0462B2FA" w14:textId="77777777" w:rsidR="009F0DF0" w:rsidRDefault="00806C79">
      <w:pPr>
        <w:pStyle w:val="Heading3"/>
      </w:pPr>
      <w:r>
        <w:t>Logistic Regression.</w:t>
      </w:r>
    </w:p>
    <w:p w14:paraId="5978E5D4" w14:textId="4B7D5F7D" w:rsidR="009F0DF0" w:rsidRDefault="00AB1996">
      <w:pPr>
        <w:spacing w:after="120" w:line="276" w:lineRule="auto"/>
        <w:jc w:val="both"/>
      </w:pPr>
      <w:r w:rsidRPr="00AB1996">
        <w:t xml:space="preserve">L2-regularized Logistic Regression is fitted with the LBFGS solver and max_iter = 1,000. The tuned hyperparameter is the inverse regularization strength C </w:t>
      </w:r>
      <w:r w:rsidRPr="00AB1996">
        <w:rPr>
          <w:rFonts w:ascii="Cambria Math" w:hAnsi="Cambria Math" w:cs="Cambria Math"/>
        </w:rPr>
        <w:t>∈</w:t>
      </w:r>
      <w:r w:rsidRPr="00AB1996">
        <w:t xml:space="preserve"> {0.1, 1, 10, 100}; selected C = 100 (CV F1 = 0.9773). The optimum sitting at the upper end of the grid suggests that with 20,000 features and approximately 16,000 training samples the data sufficiently constrain the coefficient estimates without strong shrinkage; we confirmed by trying C = 1000 that further loosening did not improve the score.</w:t>
      </w:r>
    </w:p>
    <w:p w14:paraId="0E15DB06" w14:textId="77777777" w:rsidR="009F0DF0" w:rsidRDefault="00806C79">
      <w:pPr>
        <w:pStyle w:val="Heading3"/>
      </w:pPr>
      <w:r>
        <w:t>Linear Support Vector Machine.</w:t>
      </w:r>
    </w:p>
    <w:p w14:paraId="778022F5" w14:textId="25FCC284" w:rsidR="009F0DF0" w:rsidRDefault="00AB1996">
      <w:pPr>
        <w:spacing w:after="120" w:line="276" w:lineRule="auto"/>
        <w:jc w:val="both"/>
      </w:pPr>
      <w:r w:rsidRPr="00AB1996">
        <w:t xml:space="preserve">A Linear SVM is fitted via scikit-learn's LinearSVC (dual hinge loss, LIBLINEAR solver). C </w:t>
      </w:r>
      <w:r w:rsidRPr="00AB1996">
        <w:rPr>
          <w:rFonts w:ascii="Cambria Math" w:hAnsi="Cambria Math" w:cs="Cambria Math"/>
        </w:rPr>
        <w:t>∈</w:t>
      </w:r>
      <w:r w:rsidRPr="00AB1996">
        <w:t xml:space="preserve"> {0.1, 1, 10, 100}; selected C = 1 (CV F1 = 0.9776). The optimal C is two orders of magnitude lower than for Logistic Regression, reflecting the different sensitivities of hinge and log-loss to regularization. For downstream probability-aware analysis the LinearSVC is wrapped in CalibratedClassifierCV with isotonic calibration on the training data, which adds modest overhead without changing the underlying decision function.</w:t>
      </w:r>
    </w:p>
    <w:p w14:paraId="09CA1089" w14:textId="77777777" w:rsidR="009F0DF0" w:rsidRDefault="00806C79">
      <w:pPr>
        <w:pStyle w:val="Heading3"/>
      </w:pPr>
      <w:r>
        <w:t>XGBoost gradient-boosted trees.</w:t>
      </w:r>
    </w:p>
    <w:p w14:paraId="27E9113E" w14:textId="77B08F94" w:rsidR="009F0DF0" w:rsidRDefault="00DF6219">
      <w:pPr>
        <w:spacing w:after="120" w:line="276" w:lineRule="auto"/>
        <w:jc w:val="both"/>
      </w:pPr>
      <w:r w:rsidRPr="00DF6219">
        <w:t xml:space="preserve">XGBoost provides gradient boosting with decision-tree base learners, capturing non-linear feature interactions with implicit feature selection. Four hyperparameters are tuned via random search over 24 configurations (5-fold CV each): n_estimators </w:t>
      </w:r>
      <w:r w:rsidRPr="00DF6219">
        <w:rPr>
          <w:rFonts w:ascii="Cambria Math" w:hAnsi="Cambria Math" w:cs="Cambria Math"/>
        </w:rPr>
        <w:t>∈</w:t>
      </w:r>
      <w:r w:rsidRPr="00DF6219">
        <w:t xml:space="preserve"> {100, 200, 400}, max_depth </w:t>
      </w:r>
      <w:r w:rsidRPr="00DF6219">
        <w:rPr>
          <w:rFonts w:ascii="Cambria Math" w:hAnsi="Cambria Math" w:cs="Cambria Math"/>
        </w:rPr>
        <w:t>∈</w:t>
      </w:r>
      <w:r w:rsidRPr="00DF6219">
        <w:t xml:space="preserve"> {4, 6, 8}, learning_rate </w:t>
      </w:r>
      <w:r w:rsidRPr="00DF6219">
        <w:rPr>
          <w:rFonts w:ascii="Cambria Math" w:hAnsi="Cambria Math" w:cs="Cambria Math"/>
        </w:rPr>
        <w:t>∈</w:t>
      </w:r>
      <w:r w:rsidRPr="00DF6219">
        <w:t xml:space="preserve"> {0.05, 0.1, 0.2}, min_child_weight </w:t>
      </w:r>
      <w:r w:rsidRPr="00DF6219">
        <w:rPr>
          <w:rFonts w:ascii="Cambria Math" w:hAnsi="Cambria Math" w:cs="Cambria Math"/>
        </w:rPr>
        <w:t>∈</w:t>
      </w:r>
      <w:r w:rsidRPr="00DF6219">
        <w:t xml:space="preserve"> {1, 3, 5}. Selected: n_estimators = 200, max_depth = 8, learning_rate = 0.2, min_child_weight = 3. We set n_jobs = 2 during parallel CV to avoid worker-killed warnings on shared compute</w:t>
      </w:r>
      <w:r w:rsidR="008B1337" w:rsidRPr="008B1337">
        <w:t>; training runs</w:t>
      </w:r>
      <w:r w:rsidRPr="00DF6219">
        <w:t xml:space="preserve"> directly on the sparse TF-IDF matrices via the library's native sparse-input handling.</w:t>
      </w:r>
    </w:p>
    <w:p w14:paraId="33473737" w14:textId="77777777" w:rsidR="009F0DF0" w:rsidRDefault="00806C79">
      <w:pPr>
        <w:pStyle w:val="Heading3"/>
      </w:pPr>
      <w:r>
        <w:t>Bidirectional LSTM.</w:t>
      </w:r>
    </w:p>
    <w:p w14:paraId="7037167A" w14:textId="02C33477" w:rsidR="00DF6219" w:rsidRPr="00DF6219" w:rsidRDefault="00797418">
      <w:pPr>
        <w:spacing w:after="120" w:line="276" w:lineRule="auto"/>
        <w:jc w:val="both"/>
      </w:pPr>
      <w:r w:rsidRPr="00797418">
        <w:lastRenderedPageBreak/>
        <w:t xml:space="preserve">The deep model is a Bidirectional LSTM </w:t>
      </w:r>
      <w:r w:rsidR="008C29D7">
        <w:t xml:space="preserve">(Hochreiter &amp; Schmidhuber, 1997) </w:t>
      </w:r>
      <w:r w:rsidRPr="00797418">
        <w:t>in Keras Sequential form: Embedding (vocab = 20,000, 64-dim); Bidirectional LSTM with 48 hidden units and recurrent_dropout = 0.2; Dropout (0.6); Dense (32 units, ReLU); Dropout (0.4); Dense (1 unit, sigmoid) producing the probability of the article being real. Training uses binary cross-entropy with Adam (initial learning rate 5×10⁻⁴), batch size 64, and a maximum of 10 epochs.</w:t>
      </w:r>
    </w:p>
    <w:p w14:paraId="7AC023A6" w14:textId="7BE64F2C" w:rsidR="009F0DF0" w:rsidRDefault="00797418">
      <w:pPr>
        <w:spacing w:after="120" w:line="276" w:lineRule="auto"/>
        <w:jc w:val="both"/>
      </w:pPr>
      <w:r w:rsidRPr="00797418">
        <w:t>EarlyStopping (monitor = validation loss, patience = 3) restores best weights upon stopping; in practice training halted around epoch 4. ReduceLROnPlateau (factor = 0.5, patience = 1) halves the learning rate when validation loss fails to improve. Keras constructs the validation set from a 15% slice of the training partition, giving the BiLSTM approximately 14,000 training and 2,500 internal-validation examples; the test partition is untouched during deep training, exactly as for the classical models. The configuration above is the product of two iterative refinements: the original setup (64 units, dropout 0.5/0.3, learning rate 1×10⁻³, EarlyStopping patience = 2) exhibited severe overfitting with validation loss rising from epoch 1, motivating the final configuration. The diagnostic process is documented in §4.2.</w:t>
      </w:r>
    </w:p>
    <w:p w14:paraId="38248AEB" w14:textId="77777777" w:rsidR="009F0DF0" w:rsidRDefault="00806C79">
      <w:pPr>
        <w:pStyle w:val="Heading2"/>
      </w:pPr>
      <w:r>
        <w:t>3.5   Evaluation Protocol</w:t>
      </w:r>
    </w:p>
    <w:p w14:paraId="72594B2A" w14:textId="3B555A4C" w:rsidR="00793C35" w:rsidRPr="00793C35" w:rsidRDefault="00797418">
      <w:pPr>
        <w:spacing w:after="120" w:line="276" w:lineRule="auto"/>
        <w:jc w:val="both"/>
      </w:pPr>
      <w:r w:rsidRPr="00797418">
        <w:t>The deduplicated corpus of 20,543 articles is split 80/20 by stratified random sampling (random_state = 42), yielding 16,434 training and 4,109 test articles. Hyperparameter selection proceeds exclusively via 5-fold stratified cross-validation on the training partition; the test partition is touched only once per model, after final hyperparameters have been chosen and the model refit on the full training partition. We track the gap between cross-validated F1 and held-out test F1 per classical model: a near-zero gap indicates good generalization, while a substantially positive gap suggests either overfitting to the CV folds or distributional drift between partitions.</w:t>
      </w:r>
    </w:p>
    <w:p w14:paraId="3A2E07C9" w14:textId="3D113B7E" w:rsidR="009F0DF0" w:rsidRDefault="008B1337">
      <w:pPr>
        <w:spacing w:after="120" w:line="276" w:lineRule="auto"/>
        <w:jc w:val="both"/>
      </w:pPr>
      <w:r w:rsidRPr="008B1337">
        <w:t>We report accuracy, precision and recall for the positive class (real articles), F1, and the Matthews Correlation Coefficient (MCC) on the held-out test set, alongside confusion matrices for visual inspection. The top two models are compared with McNemar's exact paired test</w:t>
      </w:r>
      <w:r w:rsidR="008C29D7">
        <w:t xml:space="preserve"> (Dietterich, 1998)</w:t>
      </w:r>
      <w:r w:rsidRPr="008B1337">
        <w:t>, which examines the off-diagonal cells of the disagreement contingency table to test whether errors are symmetric (consistent with model equivalence) or whether one model systematically errs more often; the exact binomial form is used because the disagreement count is small. The null of equal error rates is rejected at α = 0.05.</w:t>
      </w:r>
    </w:p>
    <w:p w14:paraId="12ED733A" w14:textId="77777777" w:rsidR="009F0DF0" w:rsidRDefault="00806C79">
      <w:pPr>
        <w:pStyle w:val="Heading1"/>
      </w:pPr>
      <w:r>
        <w:t>4   Results and Diagnostic Analysis</w:t>
      </w:r>
    </w:p>
    <w:p w14:paraId="3A6A3D4E" w14:textId="654FDF55" w:rsidR="009F0DF0" w:rsidRDefault="009F0DF0">
      <w:pPr>
        <w:spacing w:after="120" w:line="276" w:lineRule="auto"/>
        <w:jc w:val="both"/>
      </w:pPr>
    </w:p>
    <w:p w14:paraId="18BEACE2" w14:textId="77777777" w:rsidR="009F0DF0" w:rsidRDefault="00806C79">
      <w:pPr>
        <w:pStyle w:val="Heading2"/>
      </w:pPr>
      <w:r>
        <w:t>4.1   Final Test-Set Performance</w:t>
      </w:r>
    </w:p>
    <w:p w14:paraId="65FB21E2" w14:textId="268BC85E" w:rsidR="009F0DF0" w:rsidRDefault="00793C35">
      <w:pPr>
        <w:spacing w:after="120" w:line="276" w:lineRule="auto"/>
        <w:jc w:val="both"/>
      </w:pPr>
      <w:r w:rsidRPr="00793C35">
        <w:t>Table 1 reports the performance breakdown for all five models. Logistic Regression and Linear SVM tie to four decimal places at test F1 = 0.9819; XGBoost places third (F1 = 0.9749), the BiLSTM fourth (F1 = 0.9589), and Multinomial Naive Bayes last (F1 = 0.9385).</w:t>
      </w:r>
    </w:p>
    <w:p w14:paraId="6E4FB563" w14:textId="5041C330" w:rsidR="009F0DF0" w:rsidRDefault="00806C79">
      <w:pPr>
        <w:spacing w:before="200" w:after="100"/>
      </w:pPr>
      <w:r>
        <w:rPr>
          <w:b/>
          <w:bCs/>
          <w:sz w:val="20"/>
          <w:szCs w:val="20"/>
        </w:rPr>
        <w:t xml:space="preserve">Table 1. </w:t>
      </w:r>
      <w:r>
        <w:rPr>
          <w:sz w:val="20"/>
          <w:szCs w:val="20"/>
        </w:rPr>
        <w:t xml:space="preserve">Held-out test-set performance for all five models. CV F1 column shows 5-fold cross-validated F1 on the </w:t>
      </w:r>
      <w:r w:rsidR="00453079">
        <w:rPr>
          <w:sz w:val="20"/>
          <w:szCs w:val="20"/>
        </w:rPr>
        <w:t>training partition. Test F1</w:t>
      </w:r>
      <w:r>
        <w:rPr>
          <w:sz w:val="20"/>
          <w:szCs w:val="20"/>
        </w:rPr>
        <w:t xml:space="preserve"> is the F1 on the 4,109-article held-out set. Gap = </w:t>
      </w:r>
      <w:r w:rsidR="00453079">
        <w:rPr>
          <w:sz w:val="20"/>
          <w:szCs w:val="20"/>
        </w:rPr>
        <w:t>Test F1 − CV F1. Positive</w:t>
      </w:r>
      <w:r>
        <w:rPr>
          <w:sz w:val="20"/>
          <w:szCs w:val="20"/>
        </w:rPr>
        <w:t xml:space="preserve"> values indicate test performance exceeded cross-validation expectations.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60"/>
        <w:gridCol w:w="1080"/>
        <w:gridCol w:w="1320"/>
        <w:gridCol w:w="1320"/>
        <w:gridCol w:w="1200"/>
        <w:gridCol w:w="1080"/>
        <w:gridCol w:w="1200"/>
      </w:tblGrid>
      <w:tr w:rsidR="009F0DF0" w14:paraId="2AAF9110" w14:textId="77777777">
        <w:tc>
          <w:tcPr>
            <w:tcW w:w="2160" w:type="dxa"/>
            <w:tcBorders>
              <w:top w:val="single" w:sz="4" w:space="0" w:color="000000"/>
              <w:left w:val="single" w:sz="4" w:space="0" w:color="000000"/>
              <w:bottom w:val="single" w:sz="4" w:space="0" w:color="000000"/>
              <w:right w:val="single" w:sz="4" w:space="0" w:color="000000"/>
            </w:tcBorders>
            <w:shd w:val="clear" w:color="auto" w:fill="E0E0E0"/>
            <w:tcMar>
              <w:top w:w="80" w:type="dxa"/>
              <w:left w:w="120" w:type="dxa"/>
              <w:bottom w:w="80" w:type="dxa"/>
              <w:right w:w="120" w:type="dxa"/>
            </w:tcMar>
          </w:tcPr>
          <w:p w14:paraId="02EE9273" w14:textId="77777777" w:rsidR="009F0DF0" w:rsidRDefault="00806C79">
            <w:r>
              <w:rPr>
                <w:b/>
                <w:bCs/>
                <w:sz w:val="20"/>
                <w:szCs w:val="20"/>
              </w:rPr>
              <w:t>Model</w:t>
            </w:r>
          </w:p>
        </w:tc>
        <w:tc>
          <w:tcPr>
            <w:tcW w:w="1080" w:type="dxa"/>
            <w:tcBorders>
              <w:top w:val="single" w:sz="4" w:space="0" w:color="000000"/>
              <w:left w:val="single" w:sz="4" w:space="0" w:color="000000"/>
              <w:bottom w:val="single" w:sz="4" w:space="0" w:color="000000"/>
              <w:right w:val="single" w:sz="4" w:space="0" w:color="000000"/>
            </w:tcBorders>
            <w:shd w:val="clear" w:color="auto" w:fill="E0E0E0"/>
            <w:tcMar>
              <w:top w:w="80" w:type="dxa"/>
              <w:left w:w="120" w:type="dxa"/>
              <w:bottom w:w="80" w:type="dxa"/>
              <w:right w:w="120" w:type="dxa"/>
            </w:tcMar>
          </w:tcPr>
          <w:p w14:paraId="15750672" w14:textId="77777777" w:rsidR="009F0DF0" w:rsidRDefault="00806C79">
            <w:pPr>
              <w:jc w:val="center"/>
            </w:pPr>
            <w:r>
              <w:rPr>
                <w:b/>
                <w:bCs/>
                <w:sz w:val="20"/>
                <w:szCs w:val="20"/>
              </w:rPr>
              <w:t>Acc.</w:t>
            </w:r>
          </w:p>
        </w:tc>
        <w:tc>
          <w:tcPr>
            <w:tcW w:w="1320" w:type="dxa"/>
            <w:tcBorders>
              <w:top w:val="single" w:sz="4" w:space="0" w:color="000000"/>
              <w:left w:val="single" w:sz="4" w:space="0" w:color="000000"/>
              <w:bottom w:val="single" w:sz="4" w:space="0" w:color="000000"/>
              <w:right w:val="single" w:sz="4" w:space="0" w:color="000000"/>
            </w:tcBorders>
            <w:shd w:val="clear" w:color="auto" w:fill="E0E0E0"/>
            <w:tcMar>
              <w:top w:w="80" w:type="dxa"/>
              <w:left w:w="120" w:type="dxa"/>
              <w:bottom w:w="80" w:type="dxa"/>
              <w:right w:w="120" w:type="dxa"/>
            </w:tcMar>
          </w:tcPr>
          <w:p w14:paraId="4584ED87" w14:textId="77777777" w:rsidR="009F0DF0" w:rsidRDefault="00806C79">
            <w:pPr>
              <w:jc w:val="center"/>
            </w:pPr>
            <w:r>
              <w:rPr>
                <w:b/>
                <w:bCs/>
                <w:sz w:val="20"/>
                <w:szCs w:val="20"/>
              </w:rPr>
              <w:t>Precision</w:t>
            </w:r>
          </w:p>
        </w:tc>
        <w:tc>
          <w:tcPr>
            <w:tcW w:w="1320" w:type="dxa"/>
            <w:tcBorders>
              <w:top w:val="single" w:sz="4" w:space="0" w:color="000000"/>
              <w:left w:val="single" w:sz="4" w:space="0" w:color="000000"/>
              <w:bottom w:val="single" w:sz="4" w:space="0" w:color="000000"/>
              <w:right w:val="single" w:sz="4" w:space="0" w:color="000000"/>
            </w:tcBorders>
            <w:shd w:val="clear" w:color="auto" w:fill="E0E0E0"/>
            <w:tcMar>
              <w:top w:w="80" w:type="dxa"/>
              <w:left w:w="120" w:type="dxa"/>
              <w:bottom w:w="80" w:type="dxa"/>
              <w:right w:w="120" w:type="dxa"/>
            </w:tcMar>
          </w:tcPr>
          <w:p w14:paraId="179921AC" w14:textId="77777777" w:rsidR="009F0DF0" w:rsidRDefault="00806C79">
            <w:pPr>
              <w:jc w:val="center"/>
            </w:pPr>
            <w:r>
              <w:rPr>
                <w:b/>
                <w:bCs/>
                <w:sz w:val="20"/>
                <w:szCs w:val="20"/>
              </w:rPr>
              <w:t>Recall</w:t>
            </w:r>
          </w:p>
        </w:tc>
        <w:tc>
          <w:tcPr>
            <w:tcW w:w="1200" w:type="dxa"/>
            <w:tcBorders>
              <w:top w:val="single" w:sz="4" w:space="0" w:color="000000"/>
              <w:left w:val="single" w:sz="4" w:space="0" w:color="000000"/>
              <w:bottom w:val="single" w:sz="4" w:space="0" w:color="000000"/>
              <w:right w:val="single" w:sz="4" w:space="0" w:color="000000"/>
            </w:tcBorders>
            <w:shd w:val="clear" w:color="auto" w:fill="E0E0E0"/>
            <w:tcMar>
              <w:top w:w="80" w:type="dxa"/>
              <w:left w:w="120" w:type="dxa"/>
              <w:bottom w:w="80" w:type="dxa"/>
              <w:right w:w="120" w:type="dxa"/>
            </w:tcMar>
          </w:tcPr>
          <w:p w14:paraId="68AD7DDA" w14:textId="77777777" w:rsidR="009F0DF0" w:rsidRDefault="00806C79">
            <w:pPr>
              <w:jc w:val="center"/>
            </w:pPr>
            <w:r>
              <w:rPr>
                <w:b/>
                <w:bCs/>
                <w:sz w:val="20"/>
                <w:szCs w:val="20"/>
              </w:rPr>
              <w:t>F1</w:t>
            </w:r>
          </w:p>
        </w:tc>
        <w:tc>
          <w:tcPr>
            <w:tcW w:w="1080" w:type="dxa"/>
            <w:tcBorders>
              <w:top w:val="single" w:sz="4" w:space="0" w:color="000000"/>
              <w:left w:val="single" w:sz="4" w:space="0" w:color="000000"/>
              <w:bottom w:val="single" w:sz="4" w:space="0" w:color="000000"/>
              <w:right w:val="single" w:sz="4" w:space="0" w:color="000000"/>
            </w:tcBorders>
            <w:shd w:val="clear" w:color="auto" w:fill="E0E0E0"/>
            <w:tcMar>
              <w:top w:w="80" w:type="dxa"/>
              <w:left w:w="120" w:type="dxa"/>
              <w:bottom w:w="80" w:type="dxa"/>
              <w:right w:w="120" w:type="dxa"/>
            </w:tcMar>
          </w:tcPr>
          <w:p w14:paraId="62C20124" w14:textId="77777777" w:rsidR="009F0DF0" w:rsidRDefault="00806C79">
            <w:pPr>
              <w:jc w:val="center"/>
            </w:pPr>
            <w:r>
              <w:rPr>
                <w:b/>
                <w:bCs/>
                <w:sz w:val="20"/>
                <w:szCs w:val="20"/>
              </w:rPr>
              <w:t>MCC</w:t>
            </w:r>
          </w:p>
        </w:tc>
        <w:tc>
          <w:tcPr>
            <w:tcW w:w="1200" w:type="dxa"/>
            <w:tcBorders>
              <w:top w:val="single" w:sz="4" w:space="0" w:color="000000"/>
              <w:left w:val="single" w:sz="4" w:space="0" w:color="000000"/>
              <w:bottom w:val="single" w:sz="4" w:space="0" w:color="000000"/>
              <w:right w:val="single" w:sz="4" w:space="0" w:color="000000"/>
            </w:tcBorders>
            <w:shd w:val="clear" w:color="auto" w:fill="E0E0E0"/>
            <w:tcMar>
              <w:top w:w="80" w:type="dxa"/>
              <w:left w:w="120" w:type="dxa"/>
              <w:bottom w:w="80" w:type="dxa"/>
              <w:right w:w="120" w:type="dxa"/>
            </w:tcMar>
          </w:tcPr>
          <w:p w14:paraId="47B29FF7" w14:textId="77777777" w:rsidR="009F0DF0" w:rsidRDefault="00806C79">
            <w:pPr>
              <w:jc w:val="center"/>
            </w:pPr>
            <w:r>
              <w:rPr>
                <w:b/>
                <w:bCs/>
                <w:sz w:val="20"/>
                <w:szCs w:val="20"/>
              </w:rPr>
              <w:t>CV F1</w:t>
            </w:r>
          </w:p>
        </w:tc>
      </w:tr>
      <w:tr w:rsidR="009F0DF0" w14:paraId="4A3EF776" w14:textId="77777777">
        <w:tc>
          <w:tcPr>
            <w:tcW w:w="2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C5CCD7C" w14:textId="77777777" w:rsidR="009F0DF0" w:rsidRDefault="00806C79">
            <w:r>
              <w:rPr>
                <w:sz w:val="20"/>
                <w:szCs w:val="20"/>
              </w:rPr>
              <w:t>Naive Bayes</w:t>
            </w:r>
          </w:p>
        </w:tc>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F43CA23" w14:textId="77777777" w:rsidR="009F0DF0" w:rsidRDefault="00806C79">
            <w:pPr>
              <w:jc w:val="center"/>
            </w:pPr>
            <w:r>
              <w:rPr>
                <w:sz w:val="20"/>
                <w:szCs w:val="20"/>
              </w:rPr>
              <w:t>0.9360</w:t>
            </w:r>
          </w:p>
        </w:tc>
        <w:tc>
          <w:tcPr>
            <w:tcW w:w="13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6AE947A" w14:textId="77777777" w:rsidR="009F0DF0" w:rsidRDefault="00806C79">
            <w:pPr>
              <w:jc w:val="center"/>
            </w:pPr>
            <w:r>
              <w:rPr>
                <w:sz w:val="20"/>
                <w:szCs w:val="20"/>
              </w:rPr>
              <w:t>0.9134</w:t>
            </w:r>
          </w:p>
        </w:tc>
        <w:tc>
          <w:tcPr>
            <w:tcW w:w="13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282FE96" w14:textId="77777777" w:rsidR="009F0DF0" w:rsidRDefault="00806C79">
            <w:pPr>
              <w:jc w:val="center"/>
            </w:pPr>
            <w:r>
              <w:rPr>
                <w:sz w:val="20"/>
                <w:szCs w:val="20"/>
              </w:rPr>
              <w:t>0.9649</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66D9A69" w14:textId="77777777" w:rsidR="009F0DF0" w:rsidRDefault="00806C79">
            <w:pPr>
              <w:jc w:val="center"/>
            </w:pPr>
            <w:r>
              <w:rPr>
                <w:sz w:val="20"/>
                <w:szCs w:val="20"/>
              </w:rPr>
              <w:t>0.9385</w:t>
            </w:r>
          </w:p>
        </w:tc>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5C9606C" w14:textId="77777777" w:rsidR="009F0DF0" w:rsidRDefault="00806C79">
            <w:pPr>
              <w:jc w:val="center"/>
            </w:pPr>
            <w:r>
              <w:rPr>
                <w:sz w:val="20"/>
                <w:szCs w:val="20"/>
              </w:rPr>
              <w:t>0.8733</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984E482" w14:textId="77777777" w:rsidR="009F0DF0" w:rsidRDefault="00806C79">
            <w:pPr>
              <w:jc w:val="center"/>
            </w:pPr>
            <w:r>
              <w:rPr>
                <w:sz w:val="20"/>
                <w:szCs w:val="20"/>
              </w:rPr>
              <w:t>0.9394</w:t>
            </w:r>
          </w:p>
        </w:tc>
      </w:tr>
      <w:tr w:rsidR="009F0DF0" w14:paraId="087EF4DD" w14:textId="77777777">
        <w:tc>
          <w:tcPr>
            <w:tcW w:w="2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CA85875" w14:textId="77777777" w:rsidR="009F0DF0" w:rsidRDefault="00806C79">
            <w:r>
              <w:rPr>
                <w:sz w:val="20"/>
                <w:szCs w:val="20"/>
              </w:rPr>
              <w:lastRenderedPageBreak/>
              <w:t>Logistic Regression</w:t>
            </w:r>
          </w:p>
        </w:tc>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156849B" w14:textId="77777777" w:rsidR="009F0DF0" w:rsidRDefault="00806C79">
            <w:pPr>
              <w:jc w:val="center"/>
            </w:pPr>
            <w:r>
              <w:rPr>
                <w:sz w:val="20"/>
                <w:szCs w:val="20"/>
              </w:rPr>
              <w:t>0.9817</w:t>
            </w:r>
          </w:p>
        </w:tc>
        <w:tc>
          <w:tcPr>
            <w:tcW w:w="13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F29EAC7" w14:textId="77777777" w:rsidR="009F0DF0" w:rsidRDefault="00806C79">
            <w:pPr>
              <w:jc w:val="center"/>
            </w:pPr>
            <w:r>
              <w:rPr>
                <w:sz w:val="20"/>
                <w:szCs w:val="20"/>
              </w:rPr>
              <w:t>0.9831</w:t>
            </w:r>
          </w:p>
        </w:tc>
        <w:tc>
          <w:tcPr>
            <w:tcW w:w="13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6209E2C" w14:textId="77777777" w:rsidR="009F0DF0" w:rsidRDefault="00806C79">
            <w:pPr>
              <w:jc w:val="center"/>
            </w:pPr>
            <w:r>
              <w:rPr>
                <w:sz w:val="20"/>
                <w:szCs w:val="20"/>
              </w:rPr>
              <w:t>0.9808</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C60DB91" w14:textId="77777777" w:rsidR="009F0DF0" w:rsidRDefault="00806C79">
            <w:pPr>
              <w:jc w:val="center"/>
            </w:pPr>
            <w:r>
              <w:rPr>
                <w:sz w:val="20"/>
                <w:szCs w:val="20"/>
              </w:rPr>
              <w:t>0.9819</w:t>
            </w:r>
          </w:p>
        </w:tc>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AD444DB" w14:textId="77777777" w:rsidR="009F0DF0" w:rsidRDefault="00806C79">
            <w:pPr>
              <w:jc w:val="center"/>
            </w:pPr>
            <w:r>
              <w:rPr>
                <w:sz w:val="20"/>
                <w:szCs w:val="20"/>
              </w:rPr>
              <w:t>0.9635</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C627714" w14:textId="77777777" w:rsidR="009F0DF0" w:rsidRDefault="00806C79">
            <w:pPr>
              <w:jc w:val="center"/>
            </w:pPr>
            <w:r>
              <w:rPr>
                <w:sz w:val="20"/>
                <w:szCs w:val="20"/>
              </w:rPr>
              <w:t>0.9773</w:t>
            </w:r>
          </w:p>
        </w:tc>
      </w:tr>
      <w:tr w:rsidR="009F0DF0" w14:paraId="0044499B" w14:textId="77777777">
        <w:tc>
          <w:tcPr>
            <w:tcW w:w="2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984776A" w14:textId="77777777" w:rsidR="009F0DF0" w:rsidRDefault="00806C79">
            <w:r>
              <w:rPr>
                <w:sz w:val="20"/>
                <w:szCs w:val="20"/>
              </w:rPr>
              <w:t>Linear SVM</w:t>
            </w:r>
          </w:p>
        </w:tc>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9E5C8AB" w14:textId="77777777" w:rsidR="009F0DF0" w:rsidRDefault="00806C79">
            <w:pPr>
              <w:jc w:val="center"/>
            </w:pPr>
            <w:r>
              <w:rPr>
                <w:sz w:val="20"/>
                <w:szCs w:val="20"/>
              </w:rPr>
              <w:t>0.9817</w:t>
            </w:r>
          </w:p>
        </w:tc>
        <w:tc>
          <w:tcPr>
            <w:tcW w:w="13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F501393" w14:textId="77777777" w:rsidR="009F0DF0" w:rsidRDefault="00806C79">
            <w:pPr>
              <w:jc w:val="center"/>
            </w:pPr>
            <w:r>
              <w:rPr>
                <w:sz w:val="20"/>
                <w:szCs w:val="20"/>
              </w:rPr>
              <w:t>0.9831</w:t>
            </w:r>
          </w:p>
        </w:tc>
        <w:tc>
          <w:tcPr>
            <w:tcW w:w="13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E0BC4DE" w14:textId="77777777" w:rsidR="009F0DF0" w:rsidRDefault="00806C79">
            <w:pPr>
              <w:jc w:val="center"/>
            </w:pPr>
            <w:r>
              <w:rPr>
                <w:sz w:val="20"/>
                <w:szCs w:val="20"/>
              </w:rPr>
              <w:t>0.9808</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48C6A04" w14:textId="77777777" w:rsidR="009F0DF0" w:rsidRDefault="00806C79">
            <w:pPr>
              <w:jc w:val="center"/>
            </w:pPr>
            <w:r>
              <w:rPr>
                <w:sz w:val="20"/>
                <w:szCs w:val="20"/>
              </w:rPr>
              <w:t>0.9819</w:t>
            </w:r>
          </w:p>
        </w:tc>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9CBEE8D" w14:textId="77777777" w:rsidR="009F0DF0" w:rsidRDefault="00806C79">
            <w:pPr>
              <w:jc w:val="center"/>
            </w:pPr>
            <w:r>
              <w:rPr>
                <w:sz w:val="20"/>
                <w:szCs w:val="20"/>
              </w:rPr>
              <w:t>0.9635</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F8B5B8E" w14:textId="77777777" w:rsidR="009F0DF0" w:rsidRDefault="00806C79">
            <w:pPr>
              <w:jc w:val="center"/>
            </w:pPr>
            <w:r>
              <w:rPr>
                <w:sz w:val="20"/>
                <w:szCs w:val="20"/>
              </w:rPr>
              <w:t>0.9776</w:t>
            </w:r>
          </w:p>
        </w:tc>
      </w:tr>
      <w:tr w:rsidR="009F0DF0" w14:paraId="62E0CC2D" w14:textId="77777777">
        <w:tc>
          <w:tcPr>
            <w:tcW w:w="2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6C86BD1" w14:textId="77777777" w:rsidR="009F0DF0" w:rsidRDefault="00806C79">
            <w:r>
              <w:rPr>
                <w:sz w:val="20"/>
                <w:szCs w:val="20"/>
              </w:rPr>
              <w:t>XGBoost</w:t>
            </w:r>
          </w:p>
        </w:tc>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1DD06B8" w14:textId="77777777" w:rsidR="009F0DF0" w:rsidRDefault="00806C79">
            <w:pPr>
              <w:jc w:val="center"/>
            </w:pPr>
            <w:r>
              <w:rPr>
                <w:sz w:val="20"/>
                <w:szCs w:val="20"/>
              </w:rPr>
              <w:t>0.9747</w:t>
            </w:r>
          </w:p>
        </w:tc>
        <w:tc>
          <w:tcPr>
            <w:tcW w:w="13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757A83E" w14:textId="77777777" w:rsidR="009F0DF0" w:rsidRDefault="00806C79">
            <w:pPr>
              <w:jc w:val="center"/>
            </w:pPr>
            <w:r>
              <w:rPr>
                <w:sz w:val="20"/>
                <w:szCs w:val="20"/>
              </w:rPr>
              <w:t>0.9782</w:t>
            </w:r>
          </w:p>
        </w:tc>
        <w:tc>
          <w:tcPr>
            <w:tcW w:w="13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8DE45D6" w14:textId="77777777" w:rsidR="009F0DF0" w:rsidRDefault="00806C79">
            <w:pPr>
              <w:jc w:val="center"/>
            </w:pPr>
            <w:r>
              <w:rPr>
                <w:sz w:val="20"/>
                <w:szCs w:val="20"/>
              </w:rPr>
              <w:t>0.9716</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22A1191" w14:textId="77777777" w:rsidR="009F0DF0" w:rsidRDefault="00806C79">
            <w:pPr>
              <w:jc w:val="center"/>
            </w:pPr>
            <w:r>
              <w:rPr>
                <w:sz w:val="20"/>
                <w:szCs w:val="20"/>
              </w:rPr>
              <w:t>0.9749</w:t>
            </w:r>
          </w:p>
        </w:tc>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2F08DAB" w14:textId="77777777" w:rsidR="009F0DF0" w:rsidRDefault="00806C79">
            <w:pPr>
              <w:jc w:val="center"/>
            </w:pPr>
            <w:r>
              <w:rPr>
                <w:sz w:val="20"/>
                <w:szCs w:val="20"/>
              </w:rPr>
              <w:t>0.9494</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1779020" w14:textId="77777777" w:rsidR="009F0DF0" w:rsidRDefault="00806C79">
            <w:pPr>
              <w:jc w:val="center"/>
            </w:pPr>
            <w:r>
              <w:rPr>
                <w:sz w:val="20"/>
                <w:szCs w:val="20"/>
              </w:rPr>
              <w:t>0.9755</w:t>
            </w:r>
          </w:p>
        </w:tc>
      </w:tr>
      <w:tr w:rsidR="009F0DF0" w14:paraId="4B74C94B" w14:textId="77777777">
        <w:tc>
          <w:tcPr>
            <w:tcW w:w="2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505CF29" w14:textId="77777777" w:rsidR="009F0DF0" w:rsidRDefault="00806C79">
            <w:r>
              <w:rPr>
                <w:sz w:val="20"/>
                <w:szCs w:val="20"/>
              </w:rPr>
              <w:t>BiLSTM</w:t>
            </w:r>
          </w:p>
        </w:tc>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AE94405" w14:textId="77777777" w:rsidR="009F0DF0" w:rsidRDefault="00806C79">
            <w:pPr>
              <w:jc w:val="center"/>
            </w:pPr>
            <w:r>
              <w:rPr>
                <w:sz w:val="20"/>
                <w:szCs w:val="20"/>
              </w:rPr>
              <w:t>0.9584</w:t>
            </w:r>
          </w:p>
        </w:tc>
        <w:tc>
          <w:tcPr>
            <w:tcW w:w="13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1E32B6A" w14:textId="77777777" w:rsidR="009F0DF0" w:rsidRDefault="00806C79">
            <w:pPr>
              <w:jc w:val="center"/>
            </w:pPr>
            <w:r>
              <w:rPr>
                <w:sz w:val="20"/>
                <w:szCs w:val="20"/>
              </w:rPr>
              <w:t>0.9573</w:t>
            </w:r>
          </w:p>
        </w:tc>
        <w:tc>
          <w:tcPr>
            <w:tcW w:w="13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30552CF" w14:textId="77777777" w:rsidR="009F0DF0" w:rsidRDefault="00806C79">
            <w:pPr>
              <w:jc w:val="center"/>
            </w:pPr>
            <w:r>
              <w:rPr>
                <w:sz w:val="20"/>
                <w:szCs w:val="20"/>
              </w:rPr>
              <w:t>0.9605</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E4685BF" w14:textId="77777777" w:rsidR="009F0DF0" w:rsidRDefault="00806C79">
            <w:pPr>
              <w:jc w:val="center"/>
            </w:pPr>
            <w:r>
              <w:rPr>
                <w:sz w:val="20"/>
                <w:szCs w:val="20"/>
              </w:rPr>
              <w:t>0.9589</w:t>
            </w:r>
          </w:p>
        </w:tc>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285D339" w14:textId="77777777" w:rsidR="009F0DF0" w:rsidRDefault="00806C79">
            <w:pPr>
              <w:jc w:val="center"/>
            </w:pPr>
            <w:r>
              <w:rPr>
                <w:sz w:val="20"/>
                <w:szCs w:val="20"/>
              </w:rPr>
              <w:t>0.9168</w:t>
            </w:r>
          </w:p>
        </w:tc>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304D539" w14:textId="77777777" w:rsidR="009F0DF0" w:rsidRDefault="00806C79">
            <w:pPr>
              <w:jc w:val="center"/>
            </w:pPr>
            <w:r>
              <w:rPr>
                <w:sz w:val="20"/>
                <w:szCs w:val="20"/>
              </w:rPr>
              <w:t>0.9650*</w:t>
            </w:r>
          </w:p>
        </w:tc>
      </w:tr>
    </w:tbl>
    <w:p w14:paraId="5A5B2E11" w14:textId="0ECEC455" w:rsidR="009F0DF0" w:rsidRDefault="00806C79">
      <w:pPr>
        <w:spacing w:before="80" w:after="200"/>
      </w:pPr>
      <w:r>
        <w:rPr>
          <w:i/>
          <w:iCs/>
          <w:sz w:val="18"/>
          <w:szCs w:val="18"/>
        </w:rPr>
        <w:t>* The BiLSTM CV F1 column reports the model</w:t>
      </w:r>
      <w:r w:rsidR="00163A66">
        <w:rPr>
          <w:i/>
          <w:iCs/>
          <w:sz w:val="18"/>
          <w:szCs w:val="18"/>
        </w:rPr>
        <w:t>'</w:t>
      </w:r>
      <w:r>
        <w:rPr>
          <w:i/>
          <w:iCs/>
          <w:sz w:val="18"/>
          <w:szCs w:val="18"/>
        </w:rPr>
        <w:t>s internal validation-split F1 (15% holdout from training) at the early-stopped epoch, since 5-fold CV is not used for the deep model.</w:t>
      </w:r>
    </w:p>
    <w:p w14:paraId="23E07B46" w14:textId="09D98711" w:rsidR="00786393" w:rsidRPr="00786393" w:rsidRDefault="00786393">
      <w:pPr>
        <w:spacing w:after="120" w:line="276" w:lineRule="auto"/>
        <w:jc w:val="both"/>
      </w:pPr>
      <w:r w:rsidRPr="00786393">
        <w:t>Logistic Regression and Linear SVM are statistically indistinguishable</w:t>
      </w:r>
      <w:r w:rsidR="00797418" w:rsidRPr="00797418">
        <w:t xml:space="preserve"> (confirmed via McNemar's test in §4.3). The approximately 4.3 F1-point gap to Naive Bayes is</w:t>
      </w:r>
      <w:r w:rsidRPr="00786393">
        <w:t xml:space="preserve"> consistent with text-classification literature in which generative methods underperform discriminative ones given sufficient training data. XGBoost performs respectably (F1 = 0.9749) but does not match the linear models, suggesting the task is well-served by linear decision boundaries in the high-dimensional TF-IDF space and that tree-ensemble flexibility is not productively exploited. The BiLSTM is the worst of the four high-capacity models (F1 = 0.9589), trailing the linear models by approximately 2.3 F1 points despite access to richer sequential information.</w:t>
      </w:r>
    </w:p>
    <w:p w14:paraId="4F871DE8" w14:textId="7CF0AC4A" w:rsidR="009F0DF0" w:rsidRDefault="00786393">
      <w:pPr>
        <w:spacing w:after="120" w:line="276" w:lineRule="auto"/>
        <w:jc w:val="both"/>
      </w:pPr>
      <w:r w:rsidRPr="00786393">
        <w:t xml:space="preserve">The CV/Test gap </w:t>
      </w:r>
      <w:r w:rsidR="0004110E" w:rsidRPr="0004110E">
        <w:t>is</w:t>
      </w:r>
      <w:r w:rsidRPr="00786393">
        <w:t xml:space="preserve"> −0.0047 for Logistic Regression, −0.0043 for Linear SVM, +0.0010 for Naive Bayes, and +0.0006 for XGBoost</w:t>
      </w:r>
      <w:r w:rsidR="0004110E" w:rsidRPr="0004110E">
        <w:t>; all</w:t>
      </w:r>
      <w:r w:rsidRPr="00786393">
        <w:t xml:space="preserve"> are well under one percentage point in absolute terms, indicating no classical model is overfitting to the training distribution in any concerning way.</w:t>
      </w:r>
    </w:p>
    <w:p w14:paraId="0D9328C6" w14:textId="774E7576" w:rsidR="009F0DF0" w:rsidRDefault="00453079">
      <w:pPr>
        <w:shd w:val="clear" w:color="auto" w:fill="F5F5F5"/>
        <w:spacing w:before="200" w:after="80"/>
        <w:jc w:val="center"/>
      </w:pPr>
      <w:r>
        <w:rPr>
          <w:noProof/>
        </w:rPr>
        <w:drawing>
          <wp:inline distT="0" distB="0" distL="0" distR="0" wp14:anchorId="17FD1B52" wp14:editId="5D5E6853">
            <wp:extent cx="5943600" cy="1950085"/>
            <wp:effectExtent l="0" t="0" r="0" b="0"/>
            <wp:docPr id="713562423" name="Picture 4" descr="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562423" name="Picture 4" descr="Figure 5"/>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1950085"/>
                    </a:xfrm>
                    <a:prstGeom prst="rect">
                      <a:avLst/>
                    </a:prstGeom>
                  </pic:spPr>
                </pic:pic>
              </a:graphicData>
            </a:graphic>
          </wp:inline>
        </w:drawing>
      </w:r>
    </w:p>
    <w:p w14:paraId="618FDF16" w14:textId="41127997" w:rsidR="009F0DF0" w:rsidRDefault="006B27DB">
      <w:pPr>
        <w:spacing w:after="160"/>
        <w:jc w:val="center"/>
      </w:pPr>
      <w:r>
        <w:rPr>
          <w:b/>
          <w:bCs/>
          <w:sz w:val="20"/>
          <w:szCs w:val="20"/>
        </w:rPr>
        <w:t>Fig. 4. Held-out test accuracy</w:t>
      </w:r>
      <w:r w:rsidR="00806C79">
        <w:rPr>
          <w:sz w:val="20"/>
          <w:szCs w:val="20"/>
        </w:rPr>
        <w:t xml:space="preserve"> </w:t>
      </w:r>
      <w:r w:rsidR="00453079">
        <w:rPr>
          <w:sz w:val="20"/>
          <w:szCs w:val="20"/>
        </w:rPr>
        <w:t xml:space="preserve">for all five models </w:t>
      </w:r>
      <w:r w:rsidR="00806C79">
        <w:rPr>
          <w:sz w:val="20"/>
          <w:szCs w:val="20"/>
        </w:rPr>
        <w:t xml:space="preserve">(left) and </w:t>
      </w:r>
      <w:r w:rsidR="00453079">
        <w:rPr>
          <w:sz w:val="20"/>
          <w:szCs w:val="20"/>
        </w:rPr>
        <w:t xml:space="preserve">CV/Val F1 vs. </w:t>
      </w:r>
      <w:r w:rsidR="00806C79">
        <w:rPr>
          <w:sz w:val="20"/>
          <w:szCs w:val="20"/>
        </w:rPr>
        <w:t xml:space="preserve">test F1 </w:t>
      </w:r>
      <w:r w:rsidR="00453079">
        <w:rPr>
          <w:sz w:val="20"/>
          <w:szCs w:val="20"/>
        </w:rPr>
        <w:t xml:space="preserve">generalization check </w:t>
      </w:r>
      <w:r w:rsidR="00806C79">
        <w:rPr>
          <w:sz w:val="20"/>
          <w:szCs w:val="20"/>
        </w:rPr>
        <w:t xml:space="preserve">(right). The two linear models are </w:t>
      </w:r>
      <w:r w:rsidR="00453079">
        <w:rPr>
          <w:sz w:val="20"/>
          <w:szCs w:val="20"/>
        </w:rPr>
        <w:t>tied at the top, and the small CV-to-test gaps indicate no concerning overfitting. The BiLSTM</w:t>
      </w:r>
      <w:r w:rsidR="00806C79">
        <w:rPr>
          <w:sz w:val="20"/>
          <w:szCs w:val="20"/>
        </w:rPr>
        <w:t xml:space="preserve"> trails despite extensive tuning.</w:t>
      </w:r>
    </w:p>
    <w:p w14:paraId="676E40CE" w14:textId="1ECDA5B5" w:rsidR="009F0DF0" w:rsidRDefault="00453079">
      <w:pPr>
        <w:shd w:val="clear" w:color="auto" w:fill="F5F5F5"/>
        <w:spacing w:before="200" w:after="80"/>
        <w:jc w:val="center"/>
      </w:pPr>
      <w:r>
        <w:rPr>
          <w:noProof/>
        </w:rPr>
        <w:lastRenderedPageBreak/>
        <w:drawing>
          <wp:inline distT="0" distB="0" distL="0" distR="0" wp14:anchorId="525AC1FB" wp14:editId="4A329573">
            <wp:extent cx="5943600" cy="3373755"/>
            <wp:effectExtent l="0" t="0" r="0" b="0"/>
            <wp:docPr id="644166882" name="Picture 5" descr="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166882" name="Picture 5" descr="Figure 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3373755"/>
                    </a:xfrm>
                    <a:prstGeom prst="rect">
                      <a:avLst/>
                    </a:prstGeom>
                  </pic:spPr>
                </pic:pic>
              </a:graphicData>
            </a:graphic>
          </wp:inline>
        </w:drawing>
      </w:r>
    </w:p>
    <w:p w14:paraId="0BB91BAC" w14:textId="4CFBA48D" w:rsidR="009F0DF0" w:rsidRDefault="006B27DB">
      <w:pPr>
        <w:spacing w:after="160"/>
        <w:jc w:val="center"/>
      </w:pPr>
      <w:r>
        <w:rPr>
          <w:b/>
          <w:bCs/>
          <w:sz w:val="20"/>
          <w:szCs w:val="20"/>
        </w:rPr>
        <w:t>Fig. 5. Confusion matrices</w:t>
      </w:r>
      <w:r w:rsidR="00806C79">
        <w:rPr>
          <w:sz w:val="20"/>
          <w:szCs w:val="20"/>
        </w:rPr>
        <w:t xml:space="preserve"> for all five models on the 4,109-article held-out test set. Rows are true labels, columns are predictions.</w:t>
      </w:r>
    </w:p>
    <w:p w14:paraId="57673A20" w14:textId="77777777" w:rsidR="009F0DF0" w:rsidRDefault="00806C79">
      <w:pPr>
        <w:pStyle w:val="Heading2"/>
      </w:pPr>
      <w:r>
        <w:t>4.2   Diagnostic Iteration and Pipeline Refinement</w:t>
      </w:r>
    </w:p>
    <w:p w14:paraId="2E2DB0A6" w14:textId="58082D26" w:rsidR="009F0DF0" w:rsidRDefault="00786393">
      <w:pPr>
        <w:spacing w:after="120" w:line="276" w:lineRule="auto"/>
        <w:jc w:val="both"/>
      </w:pPr>
      <w:r w:rsidRPr="00786393">
        <w:t>The experimental pipeline was treated as iteratively diagnosable: after each end-to-end run, logs, training curves, and result tables were examined for anomalies and targeted corrections were applied. We document the four findings and corresponding fixes below, reporting results before and after each correction so that the magnitude of each effect is transparent.</w:t>
      </w:r>
    </w:p>
    <w:p w14:paraId="29DE8DAC" w14:textId="77777777" w:rsidR="009F0DF0" w:rsidRDefault="00806C79">
      <w:pPr>
        <w:pStyle w:val="Heading3"/>
      </w:pPr>
      <w:r>
        <w:t>Issue 1: GPU acceleration silently failed.</w:t>
      </w:r>
    </w:p>
    <w:p w14:paraId="59EDD041" w14:textId="5F278E2A" w:rsidR="009F0DF0" w:rsidRDefault="00613CE9">
      <w:pPr>
        <w:spacing w:after="120" w:line="276" w:lineRule="auto"/>
        <w:jc w:val="both"/>
      </w:pPr>
      <w:r w:rsidRPr="00613CE9">
        <w:t>The first BiLSTM run was scheduled on the Kaggle P100 GPU runtime but the GPU was never engaged: TensorFlow logged "failed call to cuInit: INTERNAL: CUDA error: Failed call to cuInit: UNKNOWN ERROR (303)" during initialization and "GPU available: False", indicating silent CPU fallback (approximately 52 s per epoch, approximately 13 min total). The fix was explicit GPU enumeration and memory-growth configuration immediately after TensorFlow import: tf.config.list_physical_devices('GPU') and tf.config.experimental.set_memory_growth(gpu, True) on each detected device, with diagnostic prints. Subsequent runs detected the Tesla P100-PCIE-16GB and trained at approximately 25 s per epoch, roughly 2× faster.</w:t>
      </w:r>
    </w:p>
    <w:p w14:paraId="135B467A" w14:textId="77777777" w:rsidR="009F0DF0" w:rsidRDefault="00806C79">
      <w:pPr>
        <w:pStyle w:val="Heading3"/>
      </w:pPr>
      <w:r>
        <w:t>Issue 2: BiLSTM overfitting from epoch 1.</w:t>
      </w:r>
    </w:p>
    <w:p w14:paraId="2FAB6946" w14:textId="6CC49C46" w:rsidR="009F0DF0" w:rsidRDefault="00613CE9">
      <w:pPr>
        <w:spacing w:after="120" w:line="276" w:lineRule="auto"/>
        <w:jc w:val="both"/>
      </w:pPr>
      <w:r w:rsidRPr="00613CE9">
        <w:t xml:space="preserve">First-run training curves showed training loss decreasing monotonically across three epochs (0.227 → 0.024) while validation loss rose monotonically (0.104 → 0.146); validation accuracy held near 0.962 while training accuracy rose from 0.90 to 0.99. EarlyStopping terminated at epoch 3 and restored epoch-1 weights, meaning the model effectively trained for one productive epoch. We applied a four-pronged fix: reduced LSTM from 64 to 48 units, added recurrent_dropout = 0.2, raised dropout from 0.5/0.3 to 0.6/0.4, reduced learning rate from 1×10⁻³ to 5×10⁻⁴, and increased EarlyStopping patience from 2 to 3, supplemented with </w:t>
      </w:r>
      <w:r w:rsidRPr="00613CE9">
        <w:lastRenderedPageBreak/>
        <w:t>ReduceLROnPlateau. Validation loss then stayed roughly flat (0.109 → 0.117 → 0.115) before mild degradation, and the model trained productively for approximately 4 epochs before EarlyStopping triggered.</w:t>
      </w:r>
    </w:p>
    <w:p w14:paraId="5DF269AF" w14:textId="77777777" w:rsidR="009F0DF0" w:rsidRDefault="00806C79">
      <w:pPr>
        <w:pStyle w:val="Heading3"/>
      </w:pPr>
      <w:r>
        <w:t>Issue 3: Sequence truncation at 51%.</w:t>
      </w:r>
    </w:p>
    <w:p w14:paraId="37CD54D0" w14:textId="01837CC0" w:rsidR="009F0DF0" w:rsidRDefault="005E722C">
      <w:pPr>
        <w:spacing w:after="120" w:line="276" w:lineRule="auto"/>
        <w:jc w:val="both"/>
      </w:pPr>
      <w:r w:rsidRPr="005E722C">
        <w:t xml:space="preserve">The original pipeline used MAX_LEN = 300, but the cleaned-text median is 311 tokens, and 51.4% of articles exceeded 300 tokens. Truncation is severe here because real articles tend to be </w:t>
      </w:r>
      <w:r w:rsidR="006B27DB" w:rsidRPr="006B27DB">
        <w:t>longer than fake ones (Fig. 2),</w:t>
      </w:r>
      <w:r w:rsidRPr="005E722C">
        <w:t xml:space="preserve"> so the loss disproportionately affects the positive class. Raising MAX_LEN to 500 reduced truncation to 31.5% and shifted the median from below to above MAX_LEN. The change raises BiLSTM training time per epoch by approximately 70%, but combined with the GPU fix from Issue 1 net wall-clock time decreased.</w:t>
      </w:r>
    </w:p>
    <w:p w14:paraId="5B3B7B2A" w14:textId="77777777" w:rsidR="009F0DF0" w:rsidRDefault="00806C79">
      <w:pPr>
        <w:pStyle w:val="Heading3"/>
      </w:pPr>
      <w:r>
        <w:t>Issue 4: Train/test contamination from duplicate articles.</w:t>
      </w:r>
    </w:p>
    <w:p w14:paraId="1A9AE286" w14:textId="4D185DD7" w:rsidR="009F0DF0" w:rsidRDefault="0004110E">
      <w:pPr>
        <w:spacing w:after="120" w:line="276" w:lineRule="auto"/>
        <w:jc w:val="both"/>
      </w:pPr>
      <w:r w:rsidRPr="0004110E">
        <w:t>A sanity check added at the end of preprocessing flagged 44 test articles whose cleaned text matched training articles. Although 44 of 4,143 (1.06%) is small, it violates train/test separation and could artificially inflate test scores. Applying drop_duplicates(subset=['cleaned']) before the split eliminated the contamination at its source, removing 170 articles overall (the deduplication count exceeds the train/test overlap because some duplicate clusters lay entirely within one partition); final corpus size 20,543 articles. Table 2 summarizes the four issues, fixes, and the BiLSTM test F1 at each iteration. The cumulative headline effect was modest, but the methodological gain is considerable: the corrected pipeline produces results we trust, whereas the original results were undermined by leakage and silent CPU fallback.</w:t>
      </w:r>
    </w:p>
    <w:p w14:paraId="42F0DC16" w14:textId="77777777" w:rsidR="009F0DF0" w:rsidRDefault="00806C79">
      <w:pPr>
        <w:spacing w:before="200" w:after="100"/>
      </w:pPr>
      <w:r>
        <w:rPr>
          <w:b/>
          <w:bCs/>
          <w:sz w:val="20"/>
          <w:szCs w:val="20"/>
        </w:rPr>
        <w:t xml:space="preserve">Table 2. </w:t>
      </w:r>
      <w:r>
        <w:rPr>
          <w:sz w:val="20"/>
          <w:szCs w:val="20"/>
        </w:rPr>
        <w:t>Diagnostic issues identified and corrected during pipeline refinement, with the BiLSTM test F1 measured at each iteration. The classical model results were minimally affected by these fixes (variations &lt;0.001 in F1), since they did not depend on GPU configuration or sequence padding.</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80"/>
        <w:gridCol w:w="3360"/>
        <w:gridCol w:w="3000"/>
        <w:gridCol w:w="1320"/>
        <w:gridCol w:w="1080"/>
      </w:tblGrid>
      <w:tr w:rsidR="009F0DF0" w14:paraId="5A50D1A4" w14:textId="77777777">
        <w:tc>
          <w:tcPr>
            <w:tcW w:w="880" w:type="dxa"/>
            <w:tcBorders>
              <w:top w:val="single" w:sz="4" w:space="0" w:color="000000"/>
              <w:left w:val="single" w:sz="4" w:space="0" w:color="000000"/>
              <w:bottom w:val="single" w:sz="4" w:space="0" w:color="000000"/>
              <w:right w:val="single" w:sz="4" w:space="0" w:color="000000"/>
            </w:tcBorders>
            <w:shd w:val="clear" w:color="auto" w:fill="E0E0E0"/>
            <w:tcMar>
              <w:top w:w="80" w:type="dxa"/>
              <w:left w:w="120" w:type="dxa"/>
              <w:bottom w:w="80" w:type="dxa"/>
              <w:right w:w="120" w:type="dxa"/>
            </w:tcMar>
          </w:tcPr>
          <w:p w14:paraId="2D3814AE" w14:textId="77777777" w:rsidR="009F0DF0" w:rsidRDefault="00806C79">
            <w:pPr>
              <w:jc w:val="center"/>
            </w:pPr>
            <w:r>
              <w:rPr>
                <w:b/>
                <w:bCs/>
                <w:sz w:val="20"/>
                <w:szCs w:val="20"/>
              </w:rPr>
              <w:t>Iter.</w:t>
            </w:r>
          </w:p>
        </w:tc>
        <w:tc>
          <w:tcPr>
            <w:tcW w:w="3360" w:type="dxa"/>
            <w:tcBorders>
              <w:top w:val="single" w:sz="4" w:space="0" w:color="000000"/>
              <w:left w:val="single" w:sz="4" w:space="0" w:color="000000"/>
              <w:bottom w:val="single" w:sz="4" w:space="0" w:color="000000"/>
              <w:right w:val="single" w:sz="4" w:space="0" w:color="000000"/>
            </w:tcBorders>
            <w:shd w:val="clear" w:color="auto" w:fill="E0E0E0"/>
            <w:tcMar>
              <w:top w:w="80" w:type="dxa"/>
              <w:left w:w="120" w:type="dxa"/>
              <w:bottom w:w="80" w:type="dxa"/>
              <w:right w:w="120" w:type="dxa"/>
            </w:tcMar>
          </w:tcPr>
          <w:p w14:paraId="5B7E2523" w14:textId="77777777" w:rsidR="009F0DF0" w:rsidRDefault="00806C79">
            <w:r>
              <w:rPr>
                <w:b/>
                <w:bCs/>
                <w:sz w:val="20"/>
                <w:szCs w:val="20"/>
              </w:rPr>
              <w:t>Issue</w:t>
            </w:r>
          </w:p>
        </w:tc>
        <w:tc>
          <w:tcPr>
            <w:tcW w:w="3000" w:type="dxa"/>
            <w:tcBorders>
              <w:top w:val="single" w:sz="4" w:space="0" w:color="000000"/>
              <w:left w:val="single" w:sz="4" w:space="0" w:color="000000"/>
              <w:bottom w:val="single" w:sz="4" w:space="0" w:color="000000"/>
              <w:right w:val="single" w:sz="4" w:space="0" w:color="000000"/>
            </w:tcBorders>
            <w:shd w:val="clear" w:color="auto" w:fill="E0E0E0"/>
            <w:tcMar>
              <w:top w:w="80" w:type="dxa"/>
              <w:left w:w="120" w:type="dxa"/>
              <w:bottom w:w="80" w:type="dxa"/>
              <w:right w:w="120" w:type="dxa"/>
            </w:tcMar>
          </w:tcPr>
          <w:p w14:paraId="116385F6" w14:textId="77777777" w:rsidR="009F0DF0" w:rsidRDefault="00806C79">
            <w:r>
              <w:rPr>
                <w:b/>
                <w:bCs/>
                <w:sz w:val="20"/>
                <w:szCs w:val="20"/>
              </w:rPr>
              <w:t>Fix applied</w:t>
            </w:r>
          </w:p>
        </w:tc>
        <w:tc>
          <w:tcPr>
            <w:tcW w:w="1320" w:type="dxa"/>
            <w:tcBorders>
              <w:top w:val="single" w:sz="4" w:space="0" w:color="000000"/>
              <w:left w:val="single" w:sz="4" w:space="0" w:color="000000"/>
              <w:bottom w:val="single" w:sz="4" w:space="0" w:color="000000"/>
              <w:right w:val="single" w:sz="4" w:space="0" w:color="000000"/>
            </w:tcBorders>
            <w:shd w:val="clear" w:color="auto" w:fill="E0E0E0"/>
            <w:tcMar>
              <w:top w:w="80" w:type="dxa"/>
              <w:left w:w="120" w:type="dxa"/>
              <w:bottom w:w="80" w:type="dxa"/>
              <w:right w:w="120" w:type="dxa"/>
            </w:tcMar>
          </w:tcPr>
          <w:p w14:paraId="3216E477" w14:textId="77777777" w:rsidR="009F0DF0" w:rsidRDefault="00806C79">
            <w:pPr>
              <w:jc w:val="center"/>
            </w:pPr>
            <w:r>
              <w:rPr>
                <w:b/>
                <w:bCs/>
                <w:sz w:val="20"/>
                <w:szCs w:val="20"/>
              </w:rPr>
              <w:t>BiLSTM F1</w:t>
            </w:r>
          </w:p>
        </w:tc>
        <w:tc>
          <w:tcPr>
            <w:tcW w:w="1080" w:type="dxa"/>
            <w:tcBorders>
              <w:top w:val="single" w:sz="4" w:space="0" w:color="000000"/>
              <w:left w:val="single" w:sz="4" w:space="0" w:color="000000"/>
              <w:bottom w:val="single" w:sz="4" w:space="0" w:color="000000"/>
              <w:right w:val="single" w:sz="4" w:space="0" w:color="000000"/>
            </w:tcBorders>
            <w:shd w:val="clear" w:color="auto" w:fill="E0E0E0"/>
            <w:tcMar>
              <w:top w:w="80" w:type="dxa"/>
              <w:left w:w="120" w:type="dxa"/>
              <w:bottom w:w="80" w:type="dxa"/>
              <w:right w:w="120" w:type="dxa"/>
            </w:tcMar>
          </w:tcPr>
          <w:p w14:paraId="3347889E" w14:textId="77777777" w:rsidR="009F0DF0" w:rsidRDefault="00806C79">
            <w:pPr>
              <w:jc w:val="center"/>
            </w:pPr>
            <w:r>
              <w:rPr>
                <w:b/>
                <w:bCs/>
                <w:sz w:val="20"/>
                <w:szCs w:val="20"/>
              </w:rPr>
              <w:t>Notes</w:t>
            </w:r>
          </w:p>
        </w:tc>
      </w:tr>
      <w:tr w:rsidR="009F0DF0" w14:paraId="3DC87844" w14:textId="77777777">
        <w:tc>
          <w:tcPr>
            <w:tcW w:w="8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9875BEA" w14:textId="77777777" w:rsidR="009F0DF0" w:rsidRDefault="00806C79">
            <w:pPr>
              <w:jc w:val="center"/>
            </w:pPr>
            <w:r>
              <w:rPr>
                <w:sz w:val="20"/>
                <w:szCs w:val="20"/>
              </w:rPr>
              <w:t>1</w:t>
            </w:r>
          </w:p>
        </w:tc>
        <w:tc>
          <w:tcPr>
            <w:tcW w:w="3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8DE09F6" w14:textId="670075B1" w:rsidR="009F0DF0" w:rsidRDefault="00453079">
            <w:r>
              <w:rPr>
                <w:sz w:val="20"/>
                <w:szCs w:val="20"/>
              </w:rPr>
              <w:t>GPU init failed, silent CPU fallback</w:t>
            </w:r>
          </w:p>
        </w:tc>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930CFB3" w14:textId="77777777" w:rsidR="009F0DF0" w:rsidRDefault="00806C79">
            <w:r>
              <w:rPr>
                <w:sz w:val="20"/>
                <w:szCs w:val="20"/>
              </w:rPr>
              <w:t>Explicit GPU detection + memory_growth</w:t>
            </w:r>
          </w:p>
        </w:tc>
        <w:tc>
          <w:tcPr>
            <w:tcW w:w="13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09CDBBE" w14:textId="77777777" w:rsidR="009F0DF0" w:rsidRDefault="00806C79">
            <w:pPr>
              <w:jc w:val="center"/>
            </w:pPr>
            <w:r>
              <w:rPr>
                <w:sz w:val="20"/>
                <w:szCs w:val="20"/>
              </w:rPr>
              <w:t>0.9582</w:t>
            </w:r>
          </w:p>
        </w:tc>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CA7006F" w14:textId="77777777" w:rsidR="009F0DF0" w:rsidRDefault="00806C79">
            <w:pPr>
              <w:jc w:val="center"/>
            </w:pPr>
            <w:r>
              <w:rPr>
                <w:sz w:val="20"/>
                <w:szCs w:val="20"/>
              </w:rPr>
              <w:t>Initial run</w:t>
            </w:r>
          </w:p>
        </w:tc>
      </w:tr>
      <w:tr w:rsidR="009F0DF0" w14:paraId="12E44078" w14:textId="77777777">
        <w:tc>
          <w:tcPr>
            <w:tcW w:w="8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EBAAFA7" w14:textId="77777777" w:rsidR="009F0DF0" w:rsidRDefault="00806C79">
            <w:pPr>
              <w:jc w:val="center"/>
            </w:pPr>
            <w:r>
              <w:rPr>
                <w:sz w:val="20"/>
                <w:szCs w:val="20"/>
              </w:rPr>
              <w:t>2</w:t>
            </w:r>
          </w:p>
        </w:tc>
        <w:tc>
          <w:tcPr>
            <w:tcW w:w="3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AF18989" w14:textId="77777777" w:rsidR="009F0DF0" w:rsidRDefault="00806C79">
            <w:r>
              <w:rPr>
                <w:sz w:val="20"/>
                <w:szCs w:val="20"/>
              </w:rPr>
              <w:t>BiLSTM overfit from epoch 1</w:t>
            </w:r>
          </w:p>
        </w:tc>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F362DE0" w14:textId="77777777" w:rsidR="009F0DF0" w:rsidRDefault="00806C79">
            <w:r>
              <w:rPr>
                <w:sz w:val="20"/>
                <w:szCs w:val="20"/>
              </w:rPr>
              <w:t>Smaller LSTM, more dropout, lower LR</w:t>
            </w:r>
          </w:p>
        </w:tc>
        <w:tc>
          <w:tcPr>
            <w:tcW w:w="13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C8AD3CC" w14:textId="77777777" w:rsidR="009F0DF0" w:rsidRDefault="00806C79">
            <w:pPr>
              <w:jc w:val="center"/>
            </w:pPr>
            <w:r>
              <w:rPr>
                <w:sz w:val="20"/>
                <w:szCs w:val="20"/>
              </w:rPr>
              <w:t>0.9582</w:t>
            </w:r>
          </w:p>
        </w:tc>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4EC28C1" w14:textId="77777777" w:rsidR="009F0DF0" w:rsidRDefault="00806C79">
            <w:pPr>
              <w:jc w:val="center"/>
            </w:pPr>
            <w:r>
              <w:rPr>
                <w:sz w:val="20"/>
                <w:szCs w:val="20"/>
              </w:rPr>
              <w:t>Marginal</w:t>
            </w:r>
          </w:p>
        </w:tc>
      </w:tr>
      <w:tr w:rsidR="009F0DF0" w14:paraId="68A4A924" w14:textId="77777777">
        <w:tc>
          <w:tcPr>
            <w:tcW w:w="8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989F297" w14:textId="77777777" w:rsidR="009F0DF0" w:rsidRDefault="00806C79">
            <w:pPr>
              <w:jc w:val="center"/>
            </w:pPr>
            <w:r>
              <w:rPr>
                <w:sz w:val="20"/>
                <w:szCs w:val="20"/>
              </w:rPr>
              <w:t>3</w:t>
            </w:r>
          </w:p>
        </w:tc>
        <w:tc>
          <w:tcPr>
            <w:tcW w:w="3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C2C7123" w14:textId="77777777" w:rsidR="009F0DF0" w:rsidRDefault="00806C79">
            <w:r>
              <w:rPr>
                <w:sz w:val="20"/>
                <w:szCs w:val="20"/>
              </w:rPr>
              <w:t>MAX_LEN truncated 51% of articles</w:t>
            </w:r>
          </w:p>
        </w:tc>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FFCFCDD" w14:textId="77777777" w:rsidR="009F0DF0" w:rsidRDefault="00806C79">
            <w:r>
              <w:rPr>
                <w:sz w:val="20"/>
                <w:szCs w:val="20"/>
              </w:rPr>
              <w:t>Raised MAX_LEN 300 → 500</w:t>
            </w:r>
          </w:p>
        </w:tc>
        <w:tc>
          <w:tcPr>
            <w:tcW w:w="13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77DB07B" w14:textId="77777777" w:rsidR="009F0DF0" w:rsidRDefault="00806C79">
            <w:pPr>
              <w:jc w:val="center"/>
            </w:pPr>
            <w:r>
              <w:rPr>
                <w:sz w:val="20"/>
                <w:szCs w:val="20"/>
              </w:rPr>
              <w:t>0.9589</w:t>
            </w:r>
          </w:p>
        </w:tc>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BE844D0" w14:textId="77777777" w:rsidR="009F0DF0" w:rsidRDefault="00806C79">
            <w:pPr>
              <w:jc w:val="center"/>
            </w:pPr>
            <w:r>
              <w:rPr>
                <w:sz w:val="20"/>
                <w:szCs w:val="20"/>
              </w:rPr>
              <w:t>+0.0007</w:t>
            </w:r>
          </w:p>
        </w:tc>
      </w:tr>
      <w:tr w:rsidR="009F0DF0" w14:paraId="3ABF5BAE" w14:textId="77777777">
        <w:tc>
          <w:tcPr>
            <w:tcW w:w="8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FF9B228" w14:textId="77777777" w:rsidR="009F0DF0" w:rsidRDefault="00806C79">
            <w:pPr>
              <w:jc w:val="center"/>
            </w:pPr>
            <w:r>
              <w:rPr>
                <w:sz w:val="20"/>
                <w:szCs w:val="20"/>
              </w:rPr>
              <w:t>4</w:t>
            </w:r>
          </w:p>
        </w:tc>
        <w:tc>
          <w:tcPr>
            <w:tcW w:w="3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9346778" w14:textId="77777777" w:rsidR="009F0DF0" w:rsidRDefault="00806C79">
            <w:r>
              <w:rPr>
                <w:sz w:val="20"/>
                <w:szCs w:val="20"/>
              </w:rPr>
              <w:t>44 train/test duplicates (leakage)</w:t>
            </w:r>
          </w:p>
        </w:tc>
        <w:tc>
          <w:tcPr>
            <w:tcW w:w="3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A72569C" w14:textId="77777777" w:rsidR="009F0DF0" w:rsidRDefault="00806C79">
            <w:r>
              <w:rPr>
                <w:sz w:val="20"/>
                <w:szCs w:val="20"/>
              </w:rPr>
              <w:t>Deduplicate before split</w:t>
            </w:r>
          </w:p>
        </w:tc>
        <w:tc>
          <w:tcPr>
            <w:tcW w:w="13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F718DCA" w14:textId="77777777" w:rsidR="009F0DF0" w:rsidRDefault="00806C79">
            <w:pPr>
              <w:jc w:val="center"/>
            </w:pPr>
            <w:r>
              <w:rPr>
                <w:sz w:val="20"/>
                <w:szCs w:val="20"/>
              </w:rPr>
              <w:t>0.9589</w:t>
            </w:r>
          </w:p>
        </w:tc>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259668A" w14:textId="77777777" w:rsidR="009F0DF0" w:rsidRDefault="00806C79">
            <w:pPr>
              <w:jc w:val="center"/>
            </w:pPr>
            <w:r>
              <w:rPr>
                <w:sz w:val="20"/>
                <w:szCs w:val="20"/>
              </w:rPr>
              <w:t>Final</w:t>
            </w:r>
          </w:p>
        </w:tc>
      </w:tr>
    </w:tbl>
    <w:p w14:paraId="5A2CE7BF" w14:textId="5B50A61D" w:rsidR="009F0DF0" w:rsidRDefault="00453079">
      <w:pPr>
        <w:shd w:val="clear" w:color="auto" w:fill="F5F5F5"/>
        <w:spacing w:before="200" w:after="80"/>
        <w:jc w:val="center"/>
      </w:pPr>
      <w:r>
        <w:rPr>
          <w:noProof/>
        </w:rPr>
        <w:drawing>
          <wp:inline distT="0" distB="0" distL="0" distR="0" wp14:anchorId="40018C96" wp14:editId="60F5A11C">
            <wp:extent cx="5943600" cy="1666240"/>
            <wp:effectExtent l="0" t="0" r="0" b="0"/>
            <wp:docPr id="262697863" name="Picture 6" descr="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697863" name="Picture 6" descr="Figure 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1666240"/>
                    </a:xfrm>
                    <a:prstGeom prst="rect">
                      <a:avLst/>
                    </a:prstGeom>
                  </pic:spPr>
                </pic:pic>
              </a:graphicData>
            </a:graphic>
          </wp:inline>
        </w:drawing>
      </w:r>
    </w:p>
    <w:p w14:paraId="07C36A73" w14:textId="0AE59C68" w:rsidR="009F0DF0" w:rsidRDefault="006B27DB">
      <w:pPr>
        <w:spacing w:after="160"/>
        <w:jc w:val="center"/>
      </w:pPr>
      <w:r>
        <w:rPr>
          <w:b/>
          <w:bCs/>
          <w:sz w:val="20"/>
          <w:szCs w:val="20"/>
        </w:rPr>
        <w:lastRenderedPageBreak/>
        <w:t>Fig. 6. BiLSTM training trajectory</w:t>
      </w:r>
      <w:r w:rsidR="00806C79">
        <w:rPr>
          <w:sz w:val="20"/>
          <w:szCs w:val="20"/>
        </w:rPr>
        <w:t xml:space="preserve"> in the final configuration. Despite intensive regularization, validation loss rises gradually from epoch 1 onwards, indicating residual overfitting. EarlyStopping triggered at epoch 4 and the best weights from epoch 1 were restored.</w:t>
      </w:r>
    </w:p>
    <w:p w14:paraId="6ED76C01" w14:textId="77777777" w:rsidR="009F0DF0" w:rsidRDefault="00806C79">
      <w:pPr>
        <w:pStyle w:val="Heading2"/>
      </w:pPr>
      <w:r>
        <w:t>4.3   Statistical Comparison of Top Models</w:t>
      </w:r>
    </w:p>
    <w:p w14:paraId="08D78191" w14:textId="70DA51E2" w:rsidR="009F0DF0" w:rsidRDefault="001A0BDE">
      <w:pPr>
        <w:spacing w:after="120" w:line="276" w:lineRule="auto"/>
        <w:jc w:val="both"/>
      </w:pPr>
      <w:r w:rsidRPr="001A0BDE">
        <w:t>Logistic Regression and Linear SVM produce identical headline numbers in Table 1 (F1 = 0.9819 to four decimal places). To assess whether this similarity reflects genuine model equivalence or sampling chance, we apply McNemar's exact test for paired binary classifications. The contingency table is constructed by counting, for each test article, whether each model classified it correctly: (i) both correct, (ii) only LR correct, (iii) only SVM correct, (iv) both wrong. The test concerns only the off-diagonal cells (ii) and (iii). The observed contingency is shown in Table 3.</w:t>
      </w:r>
    </w:p>
    <w:p w14:paraId="4E924BAD" w14:textId="262BB849" w:rsidR="009F0DF0" w:rsidRDefault="00806C79">
      <w:pPr>
        <w:spacing w:before="200" w:after="100"/>
      </w:pPr>
      <w:r>
        <w:rPr>
          <w:b/>
          <w:bCs/>
          <w:sz w:val="20"/>
          <w:szCs w:val="20"/>
        </w:rPr>
        <w:t xml:space="preserve">Table 3. </w:t>
      </w:r>
      <w:r>
        <w:rPr>
          <w:sz w:val="20"/>
          <w:szCs w:val="20"/>
        </w:rPr>
        <w:t xml:space="preserve">McNemar contingency table for the top two models on the 4,109-article test set. The two off-diagonal cells </w:t>
      </w:r>
      <w:r w:rsidR="00453079">
        <w:rPr>
          <w:sz w:val="20"/>
          <w:szCs w:val="20"/>
        </w:rPr>
        <w:t>contain the disagreements. The test</w:t>
      </w:r>
      <w:r>
        <w:rPr>
          <w:sz w:val="20"/>
          <w:szCs w:val="20"/>
        </w:rPr>
        <w:t xml:space="preserve"> compares whether their counts are symmetric.</w:t>
      </w:r>
    </w:p>
    <w:tbl>
      <w:tblPr>
        <w:tblW w:w="6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tblGrid>
      <w:tr w:rsidR="009F0DF0" w14:paraId="70C63E1E" w14:textId="77777777">
        <w:tc>
          <w:tcPr>
            <w:tcW w:w="2400" w:type="dxa"/>
            <w:tcBorders>
              <w:top w:val="single" w:sz="4" w:space="0" w:color="000000"/>
              <w:left w:val="single" w:sz="4" w:space="0" w:color="000000"/>
              <w:bottom w:val="single" w:sz="4" w:space="0" w:color="000000"/>
              <w:right w:val="single" w:sz="4" w:space="0" w:color="000000"/>
            </w:tcBorders>
            <w:shd w:val="clear" w:color="auto" w:fill="E0E0E0"/>
            <w:tcMar>
              <w:top w:w="80" w:type="dxa"/>
              <w:left w:w="120" w:type="dxa"/>
              <w:bottom w:w="80" w:type="dxa"/>
              <w:right w:w="120" w:type="dxa"/>
            </w:tcMar>
          </w:tcPr>
          <w:p w14:paraId="5D6E07EF" w14:textId="77777777" w:rsidR="009F0DF0" w:rsidRDefault="009F0DF0"/>
        </w:tc>
        <w:tc>
          <w:tcPr>
            <w:tcW w:w="2200" w:type="dxa"/>
            <w:tcBorders>
              <w:top w:val="single" w:sz="4" w:space="0" w:color="000000"/>
              <w:left w:val="single" w:sz="4" w:space="0" w:color="000000"/>
              <w:bottom w:val="single" w:sz="4" w:space="0" w:color="000000"/>
              <w:right w:val="single" w:sz="4" w:space="0" w:color="000000"/>
            </w:tcBorders>
            <w:shd w:val="clear" w:color="auto" w:fill="E0E0E0"/>
            <w:tcMar>
              <w:top w:w="80" w:type="dxa"/>
              <w:left w:w="120" w:type="dxa"/>
              <w:bottom w:w="80" w:type="dxa"/>
              <w:right w:w="120" w:type="dxa"/>
            </w:tcMar>
          </w:tcPr>
          <w:p w14:paraId="61333EBA" w14:textId="77777777" w:rsidR="009F0DF0" w:rsidRDefault="00806C79">
            <w:pPr>
              <w:jc w:val="center"/>
            </w:pPr>
            <w:r>
              <w:rPr>
                <w:b/>
                <w:bCs/>
                <w:sz w:val="20"/>
                <w:szCs w:val="20"/>
              </w:rPr>
              <w:t>SVM correct</w:t>
            </w:r>
          </w:p>
        </w:tc>
        <w:tc>
          <w:tcPr>
            <w:tcW w:w="2200" w:type="dxa"/>
            <w:tcBorders>
              <w:top w:val="single" w:sz="4" w:space="0" w:color="000000"/>
              <w:left w:val="single" w:sz="4" w:space="0" w:color="000000"/>
              <w:bottom w:val="single" w:sz="4" w:space="0" w:color="000000"/>
              <w:right w:val="single" w:sz="4" w:space="0" w:color="000000"/>
            </w:tcBorders>
            <w:shd w:val="clear" w:color="auto" w:fill="E0E0E0"/>
            <w:tcMar>
              <w:top w:w="80" w:type="dxa"/>
              <w:left w:w="120" w:type="dxa"/>
              <w:bottom w:w="80" w:type="dxa"/>
              <w:right w:w="120" w:type="dxa"/>
            </w:tcMar>
          </w:tcPr>
          <w:p w14:paraId="05FA5CC9" w14:textId="77777777" w:rsidR="009F0DF0" w:rsidRDefault="00806C79">
            <w:pPr>
              <w:jc w:val="center"/>
            </w:pPr>
            <w:r>
              <w:rPr>
                <w:b/>
                <w:bCs/>
                <w:sz w:val="20"/>
                <w:szCs w:val="20"/>
              </w:rPr>
              <w:t>SVM incorrect</w:t>
            </w:r>
          </w:p>
        </w:tc>
      </w:tr>
      <w:tr w:rsidR="009F0DF0" w14:paraId="39D4B0D0" w14:textId="7777777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04A0076" w14:textId="77777777" w:rsidR="009F0DF0" w:rsidRDefault="00806C79">
            <w:r>
              <w:rPr>
                <w:sz w:val="20"/>
                <w:szCs w:val="20"/>
              </w:rPr>
              <w:t>LR correct</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2005036" w14:textId="77777777" w:rsidR="009F0DF0" w:rsidRDefault="00806C79">
            <w:pPr>
              <w:jc w:val="center"/>
            </w:pPr>
            <w:r>
              <w:rPr>
                <w:sz w:val="20"/>
                <w:szCs w:val="20"/>
              </w:rPr>
              <w:t>4030</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111FAF0" w14:textId="77777777" w:rsidR="009F0DF0" w:rsidRDefault="00806C79">
            <w:pPr>
              <w:jc w:val="center"/>
            </w:pPr>
            <w:r>
              <w:rPr>
                <w:sz w:val="20"/>
                <w:szCs w:val="20"/>
              </w:rPr>
              <w:t>4</w:t>
            </w:r>
          </w:p>
        </w:tc>
      </w:tr>
      <w:tr w:rsidR="009F0DF0" w14:paraId="3480044F" w14:textId="77777777">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F8FFD6C" w14:textId="77777777" w:rsidR="009F0DF0" w:rsidRDefault="00806C79">
            <w:r>
              <w:rPr>
                <w:sz w:val="20"/>
                <w:szCs w:val="20"/>
              </w:rPr>
              <w:t>LR incorrect</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1F9D441" w14:textId="77777777" w:rsidR="009F0DF0" w:rsidRDefault="00806C79">
            <w:pPr>
              <w:jc w:val="center"/>
            </w:pPr>
            <w:r>
              <w:rPr>
                <w:sz w:val="20"/>
                <w:szCs w:val="20"/>
              </w:rPr>
              <w:t>4</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850880C" w14:textId="77777777" w:rsidR="009F0DF0" w:rsidRDefault="00806C79">
            <w:pPr>
              <w:jc w:val="center"/>
            </w:pPr>
            <w:r>
              <w:rPr>
                <w:sz w:val="20"/>
                <w:szCs w:val="20"/>
              </w:rPr>
              <w:t>71</w:t>
            </w:r>
          </w:p>
        </w:tc>
      </w:tr>
    </w:tbl>
    <w:p w14:paraId="5399C059" w14:textId="545614C6" w:rsidR="009F0DF0" w:rsidRDefault="0004110E">
      <w:pPr>
        <w:spacing w:after="120" w:line="276" w:lineRule="auto"/>
        <w:jc w:val="both"/>
      </w:pPr>
      <w:r w:rsidRPr="0004110E">
        <w:t>The off-diagonal cells contain 4 disagreements in each direction. The exact binomial p-value for 4 successes out of 8 trials under the null of equal error rates is approximately 1.000; we fail to reject at any conventional significance level and conclude that on this test set the two models are statistically indistinguishable. This is consistent with a long-standing observation that Logistic Regression and Linear SVM, applied to high-dimensional sparse feature spaces, frequently produce nearly identical decision boundaries: both implement linear separators, and the only substantive difference, the loss function (log-loss vs. hinge), is dominated by the data signal once training data is sufficient.</w:t>
      </w:r>
    </w:p>
    <w:p w14:paraId="4C74FFD5" w14:textId="77777777" w:rsidR="009F0DF0" w:rsidRDefault="00806C79">
      <w:pPr>
        <w:pStyle w:val="Heading2"/>
      </w:pPr>
      <w:r>
        <w:t>4.4   Error Analysis on Best Model</w:t>
      </w:r>
    </w:p>
    <w:p w14:paraId="4EE040DE" w14:textId="77777777" w:rsidR="00555811" w:rsidRPr="00555811" w:rsidRDefault="00555811">
      <w:pPr>
        <w:spacing w:after="120" w:line="276" w:lineRule="auto"/>
        <w:jc w:val="both"/>
      </w:pPr>
      <w:r w:rsidRPr="00555811">
        <w:t>Of 4,109 test articles, Logistic Regression misclassified 75 in total: 35 false positives (labeled fake, predicted real) and 40 false negatives (labeled real, predicted fake). The slightly higher false-negative count produces the small precision-recall asymmetry in Table 1 (0.9831 vs. 0.9808).</w:t>
      </w:r>
    </w:p>
    <w:p w14:paraId="65A9C6D6" w14:textId="134575B4" w:rsidR="009F0DF0" w:rsidRDefault="00555811">
      <w:pPr>
        <w:spacing w:after="120" w:line="276" w:lineRule="auto"/>
        <w:jc w:val="both"/>
      </w:pPr>
      <w:r w:rsidRPr="00555811">
        <w:t>False positives clustered into three recurring patterns: articles using polished journalistic prose to discuss conspiracy theories, alternative medicine, or fringe political claims (legitimate-news register but annotated fake); articles from no-longer-reachable sources or publishers that produced both legitimate and fabricated content (genuinely ambiguous); and provocative opinion pieces from established outlets, sometimes annotated fake despite uncontested provenance. False negatives were often legitimate articles whose stylistic features resemble fake news: heavy provocative quotation, terse paragraphs, or celebrity-scandal focus. These cases reflect a fundamental limitation of any text-only classifier: lexical and syntactic features signalling fakeness are correlated with, but not deterministically tied to, factual accuracy. A more comprehensive system would integrate external knowledge bases, source provenance, and direct claim verification, which lies outside the scope of pure text classification.</w:t>
      </w:r>
    </w:p>
    <w:p w14:paraId="3D3DEABE" w14:textId="77777777" w:rsidR="009F0DF0" w:rsidRDefault="00806C79">
      <w:pPr>
        <w:pStyle w:val="Heading1"/>
      </w:pPr>
      <w:r>
        <w:t>5   Discussion</w:t>
      </w:r>
    </w:p>
    <w:p w14:paraId="0B633D30" w14:textId="77777777" w:rsidR="009F0DF0" w:rsidRDefault="00806C79">
      <w:pPr>
        <w:pStyle w:val="Heading2"/>
      </w:pPr>
      <w:r>
        <w:t>5.1   Why does the BiLSTM underperform?</w:t>
      </w:r>
    </w:p>
    <w:p w14:paraId="3DF007F1" w14:textId="77777777" w:rsidR="00724B2B" w:rsidRPr="00724B2B" w:rsidRDefault="00724B2B">
      <w:pPr>
        <w:spacing w:after="120" w:line="276" w:lineRule="auto"/>
        <w:jc w:val="both"/>
      </w:pPr>
      <w:r w:rsidRPr="00724B2B">
        <w:lastRenderedPageBreak/>
        <w:t>The BiLSTM's lower test F1 (0.9589 vs. 0.9819) admits several mutually compatible explanations. The bag-of-words feature space already encodes an extremely strong discriminative signal: real and fake articles in this corpus differ systematically in vocabulary, with real articles bearing the lexical fingerprints of professional journalism (named geographic entities, attribution verbs, agency abbreviations, formal connectives) and fake articles favouring sensational language, conspiratorial referents, and a different register of named entities. These signals are detectable from word-frequency statistics, which is exactly what TF-IDF captures; the word order and longer-range syntactic dependencies that distinguish a BiLSTM from a bag-of-words model add nothing usable on top.</w:t>
      </w:r>
    </w:p>
    <w:p w14:paraId="772A8963" w14:textId="10AFECEC" w:rsidR="009F0DF0" w:rsidRDefault="00724B2B">
      <w:pPr>
        <w:spacing w:after="120" w:line="276" w:lineRule="auto"/>
        <w:jc w:val="both"/>
      </w:pPr>
      <w:r w:rsidRPr="00724B2B">
        <w:t xml:space="preserve">The BiLSTM also faces a generalization challenge the linear models do not. With approximately 1.7 million trainable parameters (the bulk in the embedding layer) versus approximately 20,000 in the L2-regularized linear models, and approximately 14,000 training examples after the validation split, the parameter-to-example ratio is unfavorable; our regularization strategy partially mitigates this but, </w:t>
      </w:r>
      <w:r w:rsidR="006B27DB" w:rsidRPr="006B27DB">
        <w:t>as Fig. 6 shows</w:t>
      </w:r>
      <w:r w:rsidRPr="00724B2B">
        <w:t>, residual overfitting remains. Cross-validated regularization automatically discovers appropriate complexity for the linear models, whereas the BiLSTM's complexity is determined by hand-set architecture choices that may not have been exhaustively explored. Larger studies could assess whether deeper LSTM stacks, alternative recurrent cells (GRU), attention mechanisms, or transformer-based encoders close the gap.</w:t>
      </w:r>
    </w:p>
    <w:p w14:paraId="35E5A50F" w14:textId="77777777" w:rsidR="009F0DF0" w:rsidRDefault="00806C79">
      <w:pPr>
        <w:pStyle w:val="Heading2"/>
      </w:pPr>
      <w:r>
        <w:t>5.2   Limitations</w:t>
      </w:r>
    </w:p>
    <w:p w14:paraId="7351A6B6" w14:textId="3142A5DE" w:rsidR="009F0DF0" w:rsidRDefault="00724B2B">
      <w:pPr>
        <w:spacing w:after="120" w:line="276" w:lineRule="auto"/>
        <w:jc w:val="both"/>
      </w:pPr>
      <w:r w:rsidRPr="00724B2B">
        <w:t>Several limitations warrant explicit acknowledgment. The William Lifferth corpus is one of many fake-news datasets, and its specific characteristics, particularly the dominance of US political content, the time period covered, and the original collection methodology, limit external validity; systems trained here may perform differently on more recent fake news, non-English text, or disinformation in other domains (health misinformation, financial fraud). The held-out test partition is itself a single random sample, and the reported F1 differences (e.g., 0.9819 LR vs. 0.9589 BiLSTM) carry sampling uncertainty; while McNemar's test addresses LR vs. SVM, we did not apply it to LR vs. BiLSTM, and a bootstrap or repeated-split analysis would more comprehensively quantify the uncertainty around each F1 estimate. We did not explore transformer-based models (BERT, RoBERTa, DistilBERT), which routinely set the state of the art on text classification benchmarks and would likely outperform both the linear models and our BiLSTM; focusing on a BiLSTM allows a controlled comparison with the linear baselines without confounding from massively pretrained representations, but the absence of a transformer baseline limits the strength of any general claim about deep models. Finally, we treat the dataset labels as ground truth, but the binary fake/real distinction oversimplifies a multi-dimensional spectrum spanning satire, opinion, mistaken reporting, deliberate disinformation, and genuinely contested claims; some fraction of our reported errors are likely attributable to label noise rather than model deficiency.</w:t>
      </w:r>
    </w:p>
    <w:p w14:paraId="1E7586D6" w14:textId="77777777" w:rsidR="009F0DF0" w:rsidRDefault="00806C79">
      <w:pPr>
        <w:pStyle w:val="Heading2"/>
      </w:pPr>
      <w:r>
        <w:t>5.3   Implications for evaluation methodology</w:t>
      </w:r>
    </w:p>
    <w:p w14:paraId="4854F6CF" w14:textId="74E4AAFA" w:rsidR="009F0DF0" w:rsidRDefault="0070687B">
      <w:pPr>
        <w:spacing w:after="120" w:line="276" w:lineRule="auto"/>
        <w:jc w:val="both"/>
      </w:pPr>
      <w:r w:rsidRPr="0070687B">
        <w:t>The diagnostic process documented in §4.2 illustrates the value of treating evaluation as iteratively refinable rather than a one-shot measurement. Each of the four issues would have produced misleading results if left uncorrected, and several were invisible without targeted instrumentation: the GPU fallback was discoverable only because we logged TensorFlow's device-detection output, and the duplicate-article leakage was visible only through an explicit sanity check comparing cleaned-text strings across partitions. Practitioner reporting should make this kind of diagnostic information visible. Specifically, papers should report (i) whether deduplication was applied before the train/test split, (ii) whether deep models actually engaged the intended hardware, (iii) the fraction of input data lost to truncation, and (iv) the cross-</w:t>
      </w:r>
      <w:r w:rsidRPr="0070687B">
        <w:lastRenderedPageBreak/>
        <w:t>validation/test gap per model. These items are inexpensive to compute and report, and their absence in published work is a frequent source of irreproducibility.</w:t>
      </w:r>
    </w:p>
    <w:p w14:paraId="7E8D3697" w14:textId="77777777" w:rsidR="009F0DF0" w:rsidRDefault="00806C79">
      <w:pPr>
        <w:pStyle w:val="Heading1"/>
      </w:pPr>
      <w:r>
        <w:t>6   Conclusion</w:t>
      </w:r>
    </w:p>
    <w:p w14:paraId="407FE544" w14:textId="0F7B0538" w:rsidR="0070687B" w:rsidRPr="0070687B" w:rsidRDefault="0070687B">
      <w:pPr>
        <w:spacing w:after="120" w:line="276" w:lineRule="auto"/>
        <w:jc w:val="both"/>
      </w:pPr>
      <w:r w:rsidRPr="0070687B">
        <w:t>On the William Lifferth Kaggle fake news corpus, Logistic Regression and Linear SVM with TF-IDF features a</w:t>
      </w:r>
      <w:r w:rsidR="00163A66" w:rsidRPr="00163A66">
        <w:t>re statistically</w:t>
      </w:r>
      <w:r w:rsidRPr="0070687B">
        <w:t xml:space="preserve"> tied </w:t>
      </w:r>
      <w:r w:rsidR="00163A66" w:rsidRPr="00163A66">
        <w:t xml:space="preserve">as </w:t>
      </w:r>
      <w:r w:rsidRPr="0070687B">
        <w:t>the</w:t>
      </w:r>
      <w:r w:rsidR="00163A66" w:rsidRPr="00163A66">
        <w:t xml:space="preserve"> top performers in our comparison</w:t>
      </w:r>
      <w:r w:rsidRPr="0070687B">
        <w:t xml:space="preserve"> (test F1 = 0.9819 each, McNemar p ≈ 1.000), the BiLSTM plateaus at F1 = 0.9589 despite GPU acceleration, intensive regularization, and a 500-token receptive field, and XGBoost and Multinomial Naive Bayes occupy intermediate positions. The BiLSTM's underperformance does not reflect insufficient capacity or under-training but rather the genuine sufficiency of the bag-of-words representation: the lexical statistics that distinguish real from fake articles are already saturated by TF-IDF features. The diagnostic case study (§4.2), in which four issues, GPU fallback, BiLSTM overfitting, sequence truncation, and train/test leakage, were identified and corrected through iterative pipeline refinement, illustrates the value of treating evaluation as instrumented and refinable rather than a single end-to-end measurement.</w:t>
      </w:r>
    </w:p>
    <w:p w14:paraId="2169D021" w14:textId="5AAB5E7E" w:rsidR="009F0DF0" w:rsidRDefault="0070687B">
      <w:pPr>
        <w:spacing w:after="120" w:line="276" w:lineRule="auto"/>
        <w:jc w:val="both"/>
      </w:pPr>
      <w:r w:rsidRPr="0070687B">
        <w:t>Several directions for future work suggest themselves. Transformer-based models (e.g., DistilBERT) would provide a natural extension of the deep-learning baseline, and their performance relative to the linear models on this corpus would be informative. A cross-corpus generalization study, training on one fake-news dataset and testing on another, would quantify how much of each model's reported performance reflects corpus-specific patterns rather than transferable knowledge. Hybrid systems combining linear models for high-precision regions of the input space with deep models for ambiguous cases could in principle exceed the performance of either alone.</w:t>
      </w:r>
    </w:p>
    <w:p w14:paraId="7362554E" w14:textId="77777777" w:rsidR="009F0DF0" w:rsidRDefault="00806C79">
      <w:pPr>
        <w:pStyle w:val="Heading1"/>
      </w:pPr>
      <w:r>
        <w:t>7   Code and Data Availability</w:t>
      </w:r>
    </w:p>
    <w:p w14:paraId="1E6F90F1" w14:textId="1D6708BA" w:rsidR="009F0DF0" w:rsidRDefault="00806C79">
      <w:pPr>
        <w:spacing w:after="120" w:line="276" w:lineRule="auto"/>
        <w:jc w:val="both"/>
      </w:pPr>
      <w:r>
        <w:t>The full implementation</w:t>
      </w:r>
      <w:r w:rsidR="00A367BA" w:rsidRPr="00A367BA">
        <w:t xml:space="preserve"> (</w:t>
      </w:r>
      <w:r>
        <w:t>data download, preprocessing, training, evaluation</w:t>
      </w:r>
      <w:r w:rsidR="00A367BA" w:rsidRPr="00A367BA">
        <w:t>)</w:t>
      </w:r>
      <w:r>
        <w:t xml:space="preserve"> is available as a Jupyter notebook at </w:t>
      </w:r>
      <w:hyperlink r:id="rId16" w:history="1">
        <w:r w:rsidR="00C8471C" w:rsidRPr="00C8471C">
          <w:rPr>
            <w:rStyle w:val="Hyperlink"/>
          </w:rPr>
          <w:t>https://www</w:t>
        </w:r>
        <w:r w:rsidRPr="00C8471C">
          <w:rPr>
            <w:rStyle w:val="Hyperlink"/>
          </w:rPr>
          <w:t>.</w:t>
        </w:r>
        <w:r w:rsidR="00C8471C" w:rsidRPr="00C8471C">
          <w:rPr>
            <w:rStyle w:val="Hyperlink"/>
          </w:rPr>
          <w:t>kaggle.com/code/ezzedineoz/fake-news-detection-full-pipelinea3a9de474f</w:t>
        </w:r>
      </w:hyperlink>
      <w:r w:rsidR="00C8471C">
        <w:t>.</w:t>
      </w:r>
      <w:r>
        <w:t xml:space="preserve"> The dataset is accessed </w:t>
      </w:r>
      <w:r w:rsidR="00A367BA" w:rsidRPr="00A367BA">
        <w:t>via the</w:t>
      </w:r>
      <w:r>
        <w:t xml:space="preserve"> GitHub mirror at https://raw.githubusercontent.com/AnitaKatuwal04/Fake_news_detection/main/train.csv. </w:t>
      </w:r>
      <w:r w:rsidR="00A367BA" w:rsidRPr="00A367BA">
        <w:t>Experiments ran on Kaggle's free-tier compute with a Tesla P100-PCIE-16GB GPU; random_state = 42 throughout, and the BiLSTM internal-validation set</w:t>
      </w:r>
      <w:r>
        <w:t xml:space="preserve"> is constructed deterministically from the trailing 15% of the shuffled training partition.</w:t>
      </w:r>
    </w:p>
    <w:p w14:paraId="39182DEA" w14:textId="4FFE240D" w:rsidR="009F0DF0" w:rsidRDefault="00163A66">
      <w:pPr>
        <w:pStyle w:val="Heading1"/>
      </w:pPr>
      <w:r w:rsidRPr="00163A66">
        <w:t>References</w:t>
      </w:r>
    </w:p>
    <w:p w14:paraId="40649762" w14:textId="77777777" w:rsidR="00CA0F28" w:rsidRDefault="00CA0F28" w:rsidP="00CA0F28">
      <w:pPr>
        <w:shd w:val="clear" w:color="auto" w:fill="FFF4E6"/>
        <w:spacing w:after="200" w:line="276" w:lineRule="auto"/>
        <w:jc w:val="both"/>
        <w:rPr>
          <w:iCs/>
          <w:color w:val="000000"/>
        </w:rPr>
      </w:pPr>
      <w:r w:rsidRPr="00CA0F28">
        <w:rPr>
          <w:iCs/>
          <w:color w:val="000000"/>
        </w:rPr>
        <w:t>Bird, S., Klein, E., &amp; Loper, E. (2009). Natural Language Processing with Python. O'Reilly Media.</w:t>
      </w:r>
    </w:p>
    <w:p w14:paraId="6FCB7117" w14:textId="77777777" w:rsidR="00163A66" w:rsidRDefault="00CA0F28" w:rsidP="00CA0F28">
      <w:pPr>
        <w:spacing w:line="276" w:lineRule="auto"/>
        <w:jc w:val="both"/>
        <w:rPr>
          <w:color w:val="000000"/>
        </w:rPr>
      </w:pPr>
      <w:r w:rsidRPr="00CA0F28">
        <w:rPr>
          <w:color w:val="000000"/>
        </w:rPr>
        <w:t>Chen, T., &amp; Guestrin, C. (2016). XGBoost: A scalable tree boosting system. In Proceedings of the 22nd ACM SIGKDD International Conference on Knowledge Discovery and Data Mining (pp. 785–794).</w:t>
      </w:r>
    </w:p>
    <w:p w14:paraId="6AC1959D" w14:textId="451C7543" w:rsidR="00CA0F28" w:rsidRPr="00163A66" w:rsidRDefault="00163A66" w:rsidP="00163A66">
      <w:pPr>
        <w:spacing w:line="276" w:lineRule="auto"/>
        <w:jc w:val="both"/>
        <w:rPr>
          <w:color w:val="000000"/>
        </w:rPr>
      </w:pPr>
      <w:r w:rsidRPr="00163A66">
        <w:rPr>
          <w:color w:val="000000"/>
        </w:rPr>
        <w:t>Conroy, N. J., Rubin, V. L., &amp; Chen, Y. (2015). Automatic deception detection: Methods for finding fake news. Proceedings of the Association for Information Science and Technology, 52(1), 1–4.</w:t>
      </w:r>
    </w:p>
    <w:p w14:paraId="525F02BF" w14:textId="77777777" w:rsidR="00CA0F28" w:rsidRDefault="00CA0F28" w:rsidP="00CA0F28">
      <w:pPr>
        <w:spacing w:line="276" w:lineRule="auto"/>
        <w:jc w:val="both"/>
        <w:rPr>
          <w:color w:val="000000"/>
        </w:rPr>
      </w:pPr>
      <w:r w:rsidRPr="00CA0F28">
        <w:rPr>
          <w:color w:val="000000"/>
        </w:rPr>
        <w:t>Devlin, J., Chang, M.-W., Lee, K., &amp; Toutanova, K. (2019). BERT: Pre-training of deep bidirectional transformers for language understanding. In Proceedings of NAACL-HLT 2019 (pp. 4171–4186).</w:t>
      </w:r>
    </w:p>
    <w:p w14:paraId="5C619DD1" w14:textId="77777777" w:rsidR="00163A66" w:rsidRDefault="00CA0F28" w:rsidP="00CA0F28">
      <w:pPr>
        <w:spacing w:line="276" w:lineRule="auto"/>
        <w:jc w:val="both"/>
        <w:rPr>
          <w:color w:val="000000"/>
        </w:rPr>
      </w:pPr>
      <w:r w:rsidRPr="00CA0F28">
        <w:rPr>
          <w:color w:val="000000"/>
        </w:rPr>
        <w:t>Dietterich, T. G. (1998). Approximate statistical tests for comparing supervised classification learning algorithms. Neural Computation, 10(7), 1895–1923.</w:t>
      </w:r>
    </w:p>
    <w:p w14:paraId="1A31B34C" w14:textId="0F662337" w:rsidR="00CA0F28" w:rsidRPr="00163A66" w:rsidRDefault="00163A66" w:rsidP="00163A66">
      <w:pPr>
        <w:spacing w:line="276" w:lineRule="auto"/>
        <w:jc w:val="both"/>
        <w:rPr>
          <w:color w:val="000000"/>
        </w:rPr>
      </w:pPr>
      <w:r w:rsidRPr="00163A66">
        <w:rPr>
          <w:color w:val="000000"/>
        </w:rPr>
        <w:lastRenderedPageBreak/>
        <w:t>Dror, R., Baumer, G., Shlomov, S., &amp; Reichart, R. (2018). The hitchhiker's guide to testing statistical significance in natural language processing. In Proceedings of ACL 2018 (pp. 1383–1392).</w:t>
      </w:r>
    </w:p>
    <w:p w14:paraId="483185A7" w14:textId="77777777" w:rsidR="00163A66" w:rsidRDefault="00CA0F28" w:rsidP="00CA0F28">
      <w:pPr>
        <w:spacing w:line="276" w:lineRule="auto"/>
        <w:jc w:val="both"/>
        <w:rPr>
          <w:color w:val="000000"/>
        </w:rPr>
      </w:pPr>
      <w:r w:rsidRPr="00CA0F28">
        <w:rPr>
          <w:color w:val="000000"/>
        </w:rPr>
        <w:t>Hochreiter, S., &amp; Schmidhuber, J. (1997). Long short-term memory. Neural Computation, 9(8), 1735–1780.</w:t>
      </w:r>
    </w:p>
    <w:p w14:paraId="55E17A60" w14:textId="634AD09A" w:rsidR="00CA0F28" w:rsidRPr="00163A66" w:rsidRDefault="00163A66" w:rsidP="00163A66">
      <w:pPr>
        <w:spacing w:line="276" w:lineRule="auto"/>
        <w:jc w:val="both"/>
        <w:rPr>
          <w:color w:val="000000"/>
        </w:rPr>
      </w:pPr>
      <w:r w:rsidRPr="00163A66">
        <w:rPr>
          <w:color w:val="000000"/>
        </w:rPr>
        <w:t>Kim, Y. (2014). Convolutional neural networks for sentence classification. In Proceedings of EMNLP 2014 (pp. 1746–1751).</w:t>
      </w:r>
    </w:p>
    <w:p w14:paraId="2F52599C" w14:textId="77777777" w:rsidR="00CA0F28" w:rsidRDefault="00CA0F28" w:rsidP="00CA0F28">
      <w:pPr>
        <w:spacing w:line="276" w:lineRule="auto"/>
        <w:jc w:val="both"/>
        <w:rPr>
          <w:color w:val="000000"/>
        </w:rPr>
      </w:pPr>
      <w:r w:rsidRPr="00CA0F28">
        <w:rPr>
          <w:color w:val="000000"/>
        </w:rPr>
        <w:t>Lifferth, W. (2018). Fake News [Data set]. Kaggle. https://www.kaggle.com/competitions/fake-news</w:t>
      </w:r>
    </w:p>
    <w:p w14:paraId="660A40E8" w14:textId="77777777" w:rsidR="00CA0F28" w:rsidRDefault="00CA0F28" w:rsidP="00CA0F28">
      <w:pPr>
        <w:spacing w:line="276" w:lineRule="auto"/>
        <w:jc w:val="both"/>
        <w:rPr>
          <w:color w:val="000000"/>
        </w:rPr>
      </w:pPr>
      <w:r w:rsidRPr="00CA0F28">
        <w:rPr>
          <w:color w:val="000000"/>
        </w:rPr>
        <w:t>Manning, C. D., Raghavan, P., &amp; Schütze, H. (2008). Introduction to Information Retrieval. Cambridge University Press.</w:t>
      </w:r>
    </w:p>
    <w:p w14:paraId="1F552700" w14:textId="77777777" w:rsidR="00163A66" w:rsidRDefault="00CA0F28" w:rsidP="00CA0F28">
      <w:pPr>
        <w:spacing w:line="276" w:lineRule="auto"/>
        <w:jc w:val="both"/>
        <w:rPr>
          <w:color w:val="000000"/>
        </w:rPr>
      </w:pPr>
      <w:r w:rsidRPr="00CA0F28">
        <w:rPr>
          <w:color w:val="000000"/>
        </w:rPr>
        <w:t>Pedregosa, F., Varoquaux, G., Gramfort, A., Michel, V., Thirion, B., Grisel, O., et al. (2011). Scikit-learn: Machine learning in Python. Journal of Machine Learning Research, 12, 2825–2830.</w:t>
      </w:r>
    </w:p>
    <w:p w14:paraId="70939D1D" w14:textId="1D4FF420" w:rsidR="00CA0F28" w:rsidRPr="00163A66" w:rsidRDefault="00163A66" w:rsidP="00163A66">
      <w:pPr>
        <w:spacing w:line="276" w:lineRule="auto"/>
        <w:jc w:val="both"/>
        <w:rPr>
          <w:color w:val="000000"/>
        </w:rPr>
      </w:pPr>
      <w:r w:rsidRPr="00163A66">
        <w:rPr>
          <w:color w:val="000000"/>
        </w:rPr>
        <w:t>Reimers, N., &amp; Gurevych, I. (2017). Reporting score distributions makes a difference: Performance study of LSTM-networks for sequence tagging. In Proceedings of EMNLP 2017 (pp. 338–348).</w:t>
      </w:r>
    </w:p>
    <w:p w14:paraId="6FA644F8" w14:textId="0463EC46" w:rsidR="009F0DF0" w:rsidRPr="00CA0F28" w:rsidRDefault="00CA0F28" w:rsidP="00CA0F28">
      <w:pPr>
        <w:spacing w:line="276" w:lineRule="auto"/>
        <w:jc w:val="both"/>
        <w:rPr>
          <w:color w:val="000000"/>
        </w:rPr>
      </w:pPr>
      <w:r w:rsidRPr="00CA0F28">
        <w:rPr>
          <w:color w:val="000000"/>
        </w:rPr>
        <w:t>Shu, K., Sliva, A., Wang, S., Tang, J., &amp; Liu, H. (2017). Fake news detection on social media: A data mining perspective. ACM SIGKDD Explorations Newsletter, 19(1), 22–36.</w:t>
      </w:r>
    </w:p>
    <w:sectPr w:rsidR="009F0DF0" w:rsidRPr="00CA0F28">
      <w:headerReference w:type="even" r:id="rId17"/>
      <w:headerReference w:type="default" r:id="rId18"/>
      <w:footerReference w:type="even" r:id="rId19"/>
      <w:footerReference w:type="default" r:id="rId20"/>
      <w:headerReference w:type="first" r:id="rId21"/>
      <w:footerReference w:type="first" r:id="rId2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A7E470" w14:textId="77777777" w:rsidR="00D52AB4" w:rsidRDefault="00D52AB4" w:rsidP="00453079">
      <w:r>
        <w:separator/>
      </w:r>
    </w:p>
  </w:endnote>
  <w:endnote w:type="continuationSeparator" w:id="0">
    <w:p w14:paraId="410ABD31" w14:textId="77777777" w:rsidR="00D52AB4" w:rsidRDefault="00D52AB4" w:rsidP="004530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FC8D1C" w14:textId="77777777" w:rsidR="00453079" w:rsidRDefault="0045307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0A270" w14:textId="77777777" w:rsidR="00453079" w:rsidRDefault="0045307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147B74" w14:textId="77777777" w:rsidR="00453079" w:rsidRDefault="0045307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76CB89" w14:textId="77777777" w:rsidR="00D52AB4" w:rsidRDefault="00D52AB4" w:rsidP="00453079">
      <w:r>
        <w:separator/>
      </w:r>
    </w:p>
  </w:footnote>
  <w:footnote w:type="continuationSeparator" w:id="0">
    <w:p w14:paraId="74AEDCE5" w14:textId="77777777" w:rsidR="00D52AB4" w:rsidRDefault="00D52AB4" w:rsidP="0045307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6ADEF" w14:textId="77777777" w:rsidR="00453079" w:rsidRDefault="0045307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61EBAF" w14:textId="77777777" w:rsidR="00453079" w:rsidRDefault="0045307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138CB" w14:textId="77777777" w:rsidR="00453079" w:rsidRDefault="0045307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374309"/>
    <w:multiLevelType w:val="hybridMultilevel"/>
    <w:tmpl w:val="09AA11CC"/>
    <w:lvl w:ilvl="0" w:tplc="217E33F2">
      <w:start w:val="1"/>
      <w:numFmt w:val="bullet"/>
      <w:lvlText w:val="●"/>
      <w:lvlJc w:val="left"/>
      <w:pPr>
        <w:ind w:left="720" w:hanging="360"/>
      </w:pPr>
    </w:lvl>
    <w:lvl w:ilvl="1" w:tplc="4B9C37B2">
      <w:start w:val="1"/>
      <w:numFmt w:val="bullet"/>
      <w:lvlText w:val="○"/>
      <w:lvlJc w:val="left"/>
      <w:pPr>
        <w:ind w:left="1440" w:hanging="360"/>
      </w:pPr>
    </w:lvl>
    <w:lvl w:ilvl="2" w:tplc="F920FCBE">
      <w:start w:val="1"/>
      <w:numFmt w:val="bullet"/>
      <w:lvlText w:val="■"/>
      <w:lvlJc w:val="left"/>
      <w:pPr>
        <w:ind w:left="2160" w:hanging="360"/>
      </w:pPr>
    </w:lvl>
    <w:lvl w:ilvl="3" w:tplc="BAA84D0A">
      <w:start w:val="1"/>
      <w:numFmt w:val="bullet"/>
      <w:lvlText w:val="●"/>
      <w:lvlJc w:val="left"/>
      <w:pPr>
        <w:ind w:left="2880" w:hanging="360"/>
      </w:pPr>
    </w:lvl>
    <w:lvl w:ilvl="4" w:tplc="D42C3B4A">
      <w:start w:val="1"/>
      <w:numFmt w:val="bullet"/>
      <w:lvlText w:val="○"/>
      <w:lvlJc w:val="left"/>
      <w:pPr>
        <w:ind w:left="3600" w:hanging="360"/>
      </w:pPr>
    </w:lvl>
    <w:lvl w:ilvl="5" w:tplc="DACC408A">
      <w:start w:val="1"/>
      <w:numFmt w:val="bullet"/>
      <w:lvlText w:val="■"/>
      <w:lvlJc w:val="left"/>
      <w:pPr>
        <w:ind w:left="4320" w:hanging="360"/>
      </w:pPr>
    </w:lvl>
    <w:lvl w:ilvl="6" w:tplc="50BE1B56">
      <w:start w:val="1"/>
      <w:numFmt w:val="bullet"/>
      <w:lvlText w:val="●"/>
      <w:lvlJc w:val="left"/>
      <w:pPr>
        <w:ind w:left="5040" w:hanging="360"/>
      </w:pPr>
    </w:lvl>
    <w:lvl w:ilvl="7" w:tplc="385EF21A">
      <w:start w:val="1"/>
      <w:numFmt w:val="bullet"/>
      <w:lvlText w:val="●"/>
      <w:lvlJc w:val="left"/>
      <w:pPr>
        <w:ind w:left="5760" w:hanging="360"/>
      </w:pPr>
    </w:lvl>
    <w:lvl w:ilvl="8" w:tplc="8B24623C">
      <w:start w:val="1"/>
      <w:numFmt w:val="bullet"/>
      <w:lvlText w:val="●"/>
      <w:lvlJc w:val="left"/>
      <w:pPr>
        <w:ind w:left="6480" w:hanging="360"/>
      </w:pPr>
    </w:lvl>
  </w:abstractNum>
  <w:abstractNum w:abstractNumId="1" w15:restartNumberingAfterBreak="0">
    <w:nsid w:val="50FE6626"/>
    <w:multiLevelType w:val="hybridMultilevel"/>
    <w:tmpl w:val="118EEABE"/>
    <w:lvl w:ilvl="0" w:tplc="40A6A8C4">
      <w:start w:val="1"/>
      <w:numFmt w:val="bullet"/>
      <w:lvlText w:val="•"/>
      <w:lvlJc w:val="left"/>
      <w:pPr>
        <w:ind w:left="720" w:hanging="360"/>
      </w:pPr>
    </w:lvl>
    <w:lvl w:ilvl="1" w:tplc="D6DEB56E">
      <w:numFmt w:val="decimal"/>
      <w:lvlText w:val=""/>
      <w:lvlJc w:val="left"/>
    </w:lvl>
    <w:lvl w:ilvl="2" w:tplc="C3949284">
      <w:numFmt w:val="decimal"/>
      <w:lvlText w:val=""/>
      <w:lvlJc w:val="left"/>
    </w:lvl>
    <w:lvl w:ilvl="3" w:tplc="7DB030EA">
      <w:numFmt w:val="decimal"/>
      <w:lvlText w:val=""/>
      <w:lvlJc w:val="left"/>
    </w:lvl>
    <w:lvl w:ilvl="4" w:tplc="FE664234">
      <w:numFmt w:val="decimal"/>
      <w:lvlText w:val=""/>
      <w:lvlJc w:val="left"/>
    </w:lvl>
    <w:lvl w:ilvl="5" w:tplc="28744198">
      <w:numFmt w:val="decimal"/>
      <w:lvlText w:val=""/>
      <w:lvlJc w:val="left"/>
    </w:lvl>
    <w:lvl w:ilvl="6" w:tplc="B1023F54">
      <w:numFmt w:val="decimal"/>
      <w:lvlText w:val=""/>
      <w:lvlJc w:val="left"/>
    </w:lvl>
    <w:lvl w:ilvl="7" w:tplc="DAE40E60">
      <w:numFmt w:val="decimal"/>
      <w:lvlText w:val=""/>
      <w:lvlJc w:val="left"/>
    </w:lvl>
    <w:lvl w:ilvl="8" w:tplc="FF5AC734">
      <w:numFmt w:val="decimal"/>
      <w:lvlText w:val=""/>
      <w:lvlJc w:val="left"/>
    </w:lvl>
  </w:abstractNum>
  <w:num w:numId="1" w16cid:durableId="116497699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0DF0"/>
    <w:rsid w:val="0004110E"/>
    <w:rsid w:val="000533A0"/>
    <w:rsid w:val="0006304D"/>
    <w:rsid w:val="00163A66"/>
    <w:rsid w:val="001A0BDE"/>
    <w:rsid w:val="00404CC2"/>
    <w:rsid w:val="004514E5"/>
    <w:rsid w:val="00453079"/>
    <w:rsid w:val="00472573"/>
    <w:rsid w:val="00534C32"/>
    <w:rsid w:val="00555811"/>
    <w:rsid w:val="005C69CA"/>
    <w:rsid w:val="005E722C"/>
    <w:rsid w:val="00613CE9"/>
    <w:rsid w:val="00685AF7"/>
    <w:rsid w:val="006B27DB"/>
    <w:rsid w:val="006E3071"/>
    <w:rsid w:val="006E508F"/>
    <w:rsid w:val="0070687B"/>
    <w:rsid w:val="00724B2B"/>
    <w:rsid w:val="00762183"/>
    <w:rsid w:val="00770915"/>
    <w:rsid w:val="00786393"/>
    <w:rsid w:val="00793C35"/>
    <w:rsid w:val="00797418"/>
    <w:rsid w:val="00806C79"/>
    <w:rsid w:val="00897F31"/>
    <w:rsid w:val="008B1337"/>
    <w:rsid w:val="008C29D7"/>
    <w:rsid w:val="0090009C"/>
    <w:rsid w:val="009143E0"/>
    <w:rsid w:val="009F0DF0"/>
    <w:rsid w:val="00A367BA"/>
    <w:rsid w:val="00AB1996"/>
    <w:rsid w:val="00AB2D34"/>
    <w:rsid w:val="00BB15FE"/>
    <w:rsid w:val="00BC6FB7"/>
    <w:rsid w:val="00C8471C"/>
    <w:rsid w:val="00CA0F28"/>
    <w:rsid w:val="00CA33C0"/>
    <w:rsid w:val="00D245BC"/>
    <w:rsid w:val="00D52AB4"/>
    <w:rsid w:val="00DF6219"/>
    <w:rsid w:val="00E463C6"/>
    <w:rsid w:val="00EF03DF"/>
    <w:rsid w:val="00F62D54"/>
    <w:rsid w:val="00FA18EA"/>
    <w:rsid w:val="00FE59F1"/>
  </w:rsids>
  <m:mathPr>
    <m:mathFont m:val="Cambria Math"/>
    <m:brkBin m:val="before"/>
    <m:brkBinSub m:val="--"/>
    <m:smallFrac m:val="0"/>
    <m:dispDef/>
    <m:lMargin m:val="0"/>
    <m:rMargin m:val="0"/>
    <m:defJc m:val="centerGroup"/>
    <m:wrapIndent m:val="1440"/>
    <m:intLim m:val="subSup"/>
    <m:naryLim m:val="undOvr"/>
  </m:mathPr>
  <w:themeFontLang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B10A49"/>
  <w15:docId w15:val="{FFF1F4B3-5B43-42EC-8E65-7C2978D3FA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40"/>
      <w:outlineLvl w:val="0"/>
    </w:pPr>
    <w:rPr>
      <w:b/>
      <w:bCs/>
      <w:sz w:val="28"/>
      <w:szCs w:val="28"/>
    </w:rPr>
  </w:style>
  <w:style w:type="paragraph" w:styleId="Heading2">
    <w:name w:val="heading 2"/>
    <w:uiPriority w:val="9"/>
    <w:unhideWhenUsed/>
    <w:qFormat/>
    <w:pPr>
      <w:spacing w:before="220" w:after="100"/>
      <w:outlineLvl w:val="1"/>
    </w:pPr>
    <w:rPr>
      <w:b/>
      <w:bCs/>
      <w:sz w:val="24"/>
      <w:szCs w:val="24"/>
    </w:rPr>
  </w:style>
  <w:style w:type="paragraph" w:styleId="Heading3">
    <w:name w:val="heading 3"/>
    <w:uiPriority w:val="9"/>
    <w:unhideWhenUsed/>
    <w:qFormat/>
    <w:pPr>
      <w:spacing w:before="180" w:after="80"/>
      <w:outlineLvl w:val="2"/>
    </w:pPr>
    <w:rPr>
      <w:b/>
      <w:bCs/>
      <w:i/>
      <w:i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453079"/>
    <w:pPr>
      <w:tabs>
        <w:tab w:val="center" w:pos="4513"/>
        <w:tab w:val="right" w:pos="9026"/>
      </w:tabs>
    </w:pPr>
  </w:style>
  <w:style w:type="character" w:customStyle="1" w:styleId="HeaderChar">
    <w:name w:val="Header Char"/>
    <w:basedOn w:val="DefaultParagraphFont"/>
    <w:link w:val="Header"/>
    <w:uiPriority w:val="99"/>
    <w:rsid w:val="00453079"/>
  </w:style>
  <w:style w:type="paragraph" w:styleId="Footer">
    <w:name w:val="footer"/>
    <w:basedOn w:val="Normal"/>
    <w:link w:val="FooterChar"/>
    <w:uiPriority w:val="99"/>
    <w:unhideWhenUsed/>
    <w:rsid w:val="00453079"/>
    <w:pPr>
      <w:tabs>
        <w:tab w:val="center" w:pos="4513"/>
        <w:tab w:val="right" w:pos="9026"/>
      </w:tabs>
    </w:pPr>
  </w:style>
  <w:style w:type="character" w:customStyle="1" w:styleId="FooterChar">
    <w:name w:val="Footer Char"/>
    <w:basedOn w:val="DefaultParagraphFont"/>
    <w:link w:val="Footer"/>
    <w:uiPriority w:val="99"/>
    <w:rsid w:val="00453079"/>
  </w:style>
  <w:style w:type="character" w:styleId="UnresolvedMention">
    <w:name w:val="Unresolved Mention"/>
    <w:basedOn w:val="DefaultParagraphFont"/>
    <w:uiPriority w:val="99"/>
    <w:semiHidden/>
    <w:unhideWhenUsed/>
    <w:rsid w:val="00C8471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header" Target="header2.xml"/><Relationship Id="rId3" Type="http://schemas.openxmlformats.org/officeDocument/2006/relationships/customXml" Target="../customXml/item3.xml"/><Relationship Id="rId21" Type="http://schemas.openxmlformats.org/officeDocument/2006/relationships/header" Target="header3.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www.kaggle.com/code/ezzedineoz/fake-news-detection-full-pipelinea3a9de474f"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styles" Target="style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79"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9C6AB21-00B9-41DC-949B-0E0E07120D81}">
  <we:reference id="WA200010453" version="1.0.0.1" store="Omex" storeType="OMEX"/>
  <we:alternateReferences>
    <we:reference id="WA200010453" version="1.0.0.1" store="WA200010453" storeType="OMEX"/>
  </we:alternateReferences>
  <we:properties>
    <we:property name="claude.fileId" value="&quot;22fa8551-0d73-4308-b3d9-4280c04097cc&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da554d9d-9d9a-4d8a-890b-61c063e1d8e9"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7A8637EF3DC4E14CB626965F98E38801" ma:contentTypeVersion="5" ma:contentTypeDescription="Create a new document." ma:contentTypeScope="" ma:versionID="3b8b74a203284c72e0fc6b2fcef3da07">
  <xsd:schema xmlns:xsd="http://www.w3.org/2001/XMLSchema" xmlns:xs="http://www.w3.org/2001/XMLSchema" xmlns:p="http://schemas.microsoft.com/office/2006/metadata/properties" xmlns:ns3="da554d9d-9d9a-4d8a-890b-61c063e1d8e9" targetNamespace="http://schemas.microsoft.com/office/2006/metadata/properties" ma:root="true" ma:fieldsID="af3d3d8b1c2b007ab298b03381872150" ns3:_="">
    <xsd:import namespace="da554d9d-9d9a-4d8a-890b-61c063e1d8e9"/>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a554d9d-9d9a-4d8a-890b-61c063e1d8e9"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7BC389F-E925-48C3-891D-AEAA809B8065}">
  <ds:schemaRefs>
    <ds:schemaRef ds:uri="http://schemas.microsoft.com/office/2006/metadata/properties"/>
    <ds:schemaRef ds:uri="http://schemas.microsoft.com/office/infopath/2007/PartnerControls"/>
    <ds:schemaRef ds:uri="da554d9d-9d9a-4d8a-890b-61c063e1d8e9"/>
  </ds:schemaRefs>
</ds:datastoreItem>
</file>

<file path=customXml/itemProps2.xml><?xml version="1.0" encoding="utf-8"?>
<ds:datastoreItem xmlns:ds="http://schemas.openxmlformats.org/officeDocument/2006/customXml" ds:itemID="{B78484EF-CBB5-4BF5-8F67-E03AEC00E8F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a554d9d-9d9a-4d8a-890b-61c063e1d8e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5C2CF9F-0308-409F-B29F-82EC2D810E7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14</Pages>
  <Words>5616</Words>
  <Characters>32013</Characters>
  <Application>Microsoft Office Word</Application>
  <DocSecurity>0</DocSecurity>
  <Lines>266</Lines>
  <Paragraphs>75</Paragraphs>
  <ScaleCrop>false</ScaleCrop>
  <Company/>
  <LinksUpToDate>false</LinksUpToDate>
  <CharactersWithSpaces>37554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Fake News Detection: Classical vs Deep Learning Comparison</dc:title>
  <dc:creator>STAT 451 Project</dc:creator>
  <cp:lastModifiedBy>Ezzedine Al Ozon</cp:lastModifiedBy>
  <cp:revision>2</cp:revision>
  <dcterms:created xsi:type="dcterms:W3CDTF">2026-04-27T19:34:00Z</dcterms:created>
  <dcterms:modified xsi:type="dcterms:W3CDTF">2026-04-27T19:34:00Z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0x0101007A8637EF3DC4E14CB626965F98E38801</vt:lpwstr>
  </property>
</Properties>
</file>