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Tuto 4 : Observer les occurrences et repérer les répétitions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1-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219840470052"/>
        <w:gridCol w:w="7434.789826976617"/>
        <w:tblGridChange w:id="0">
          <w:tblGrid>
            <w:gridCol w:w="1590.7219840470052"/>
            <w:gridCol w:w="7434.7898269766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Donnée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Valeurs observées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Madani, Sara, Youssef, Amine, Nadia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prenom_auteur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Ali, Amrani, Karim, Idrissi, Alaoui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email_auteur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madani@mail.com, sara@mail.com, youssef@mail.com, amine@mail.com, nadia@mail.com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Tanger, Rabat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Développement, Actualité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2- Pour la donnée nom_ville, la valeur répétée est Tanger.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Pour la donnée nom_catégorie, la valeur répétée est Développement.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3- Si le nom de la ville «Tanger» devait être modifié à l’avenir, il faudrait modifier cette information dans les trois lignes concernées. Si on oublie une ligne, la base de données contiendrait des informations incohérentes sur la même ville. 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