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6"/>
          <w:szCs w:val="36"/>
          <w:u w:val="single"/>
          <w:rtl w:val="0"/>
        </w:rPr>
        <w:t xml:space="preserve">Tuto 2 : Repérer les actions de l’administrateur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L’administrateur peut gérer les articles et les catégories depuis son espace d’administration. Il peut également naviguer entre les différentes pages et se déconnecter.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3.1280851281876"/>
        <w:gridCol w:w="7082.3837258954345"/>
        <w:tblGridChange w:id="0">
          <w:tblGrid>
            <w:gridCol w:w="1943.1280851281876"/>
            <w:gridCol w:w="7082.3837258954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30"/>
                <w:szCs w:val="30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EB Garamond" w:cs="EB Garamond" w:eastAsia="EB Garamond" w:hAnsi="EB Garamond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30"/>
                <w:szCs w:val="30"/>
                <w:rtl w:val="0"/>
              </w:rPr>
              <w:t xml:space="preserve">Actions possibles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Tableau de bord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Accéder à la gestion des articles et des catégories, se déconnecter.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Consulter la liste, ajouter, modifier ou supprimer un article.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Formulaire d’article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Remplir le titre, ajouter une image, choisir une catégorie, saisir le contenu et enregistrer.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Catégories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EB Garamond" w:cs="EB Garamond" w:eastAsia="EB Garamond" w:hAnsi="EB Garamond"/>
                <w:sz w:val="30"/>
                <w:szCs w:val="3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30"/>
                <w:szCs w:val="30"/>
                <w:rtl w:val="0"/>
              </w:rPr>
              <w:t xml:space="preserve">Consulter la liste, ajouter, modifier ou supprimer une catégorie.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Conclusion : L’espace d’administration permet de gérer facilement les articles et les catégories grâce aux fonctions de consultation, d’ajout, de modification et de suppression.</w:t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