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rPr>
          <w:b/>
          <w:color w:val="0072B2"/>
          <w:sz w:val="60"/>
        </w:rPr>
        <w:t>AeroLab Studio</w:t>
      </w:r>
    </w:p>
    <w:p>
      <w:r>
        <w:rPr>
          <w:color w:val="6A7280"/>
          <w:sz w:val="28"/>
        </w:rPr>
        <w:t>Aerogel-fibre analysis workbench</w:t>
      </w:r>
    </w:p>
    <w:p/>
    <w:p>
      <w:r>
        <w:rPr>
          <w:b/>
          <w:sz w:val="26"/>
        </w:rPr>
        <w:t>User guide  ·  version 1.0.0</w:t>
      </w:r>
    </w:p>
    <w:p/>
    <w:p/>
    <w:p/>
    <w:p/>
    <w:p/>
    <w:p/>
    <w:p/>
    <w:p/>
    <w:p>
      <w:r>
        <w:rPr>
          <w:color w:val="6A7280"/>
        </w:rPr>
        <w:t xml:space="preserve">Made by </w:t>
      </w:r>
      <w:r>
        <w:rPr>
          <w:b/>
        </w:rPr>
        <w:t>Ezzeldien Yousef</w:t>
      </w:r>
      <w:r>
        <w:t xml:space="preserve">  ·  ezz.yousef@mail.utoronto.ca</w:t>
      </w:r>
    </w:p>
    <w:p>
      <w:pPr>
        <w:spacing w:after="40"/>
      </w:pPr>
      <w:r>
        <w:t>MPML — Microcellular Plastics Manufacturing Laboratory</w:t>
      </w:r>
    </w:p>
    <w:p>
      <w:pPr>
        <w:spacing w:after="40"/>
      </w:pPr>
      <w:r>
        <w:t>Department of Mechanical &amp; Industrial Engineering, University of Toronto</w:t>
      </w:r>
    </w:p>
    <w:p>
      <w:r>
        <w:rPr>
          <w:color w:val="6A7280"/>
        </w:rPr>
        <w:t>September 2026</w:t>
      </w:r>
    </w:p>
    <w:p>
      <w:r>
        <w:br w:type="page"/>
      </w:r>
    </w:p>
    <w:p>
      <w:r>
        <w:rPr>
          <w:b/>
          <w:color w:val="0072B2"/>
          <w:sz w:val="34"/>
        </w:rPr>
        <w:t>Contents</w:t>
      </w:r>
    </w:p>
    <w:p>
      <w:pPr>
        <w:spacing w:after="60"/>
      </w:pPr>
      <w:r>
        <w:rPr>
          <w:b/>
          <w:color w:val="0072B2"/>
        </w:rPr>
        <w:t xml:space="preserve">1.  </w:t>
      </w:r>
      <w:r>
        <w:t>What AeroLab Studio does</w:t>
      </w:r>
    </w:p>
    <w:p>
      <w:pPr>
        <w:spacing w:after="60"/>
      </w:pPr>
      <w:r>
        <w:rPr>
          <w:b/>
          <w:color w:val="0072B2"/>
        </w:rPr>
        <w:t xml:space="preserve">2.  </w:t>
      </w:r>
      <w:r>
        <w:t>Installing and starting</w:t>
      </w:r>
    </w:p>
    <w:p>
      <w:pPr>
        <w:spacing w:after="60"/>
      </w:pPr>
      <w:r>
        <w:rPr>
          <w:b/>
          <w:color w:val="0072B2"/>
        </w:rPr>
        <w:t xml:space="preserve">3.  </w:t>
      </w:r>
      <w:r>
        <w:t>The window</w:t>
      </w:r>
    </w:p>
    <w:p>
      <w:pPr>
        <w:spacing w:after="60"/>
      </w:pPr>
      <w:r>
        <w:rPr>
          <w:b/>
          <w:color w:val="0072B2"/>
        </w:rPr>
        <w:t xml:space="preserve">4.  </w:t>
      </w:r>
      <w:r>
        <w:t>Quick start with the demo data</w:t>
      </w:r>
    </w:p>
    <w:p>
      <w:pPr>
        <w:spacing w:after="60"/>
      </w:pPr>
      <w:r>
        <w:rPr>
          <w:b/>
          <w:color w:val="0072B2"/>
        </w:rPr>
        <w:t xml:space="preserve">5.  </w:t>
      </w:r>
      <w:r>
        <w:t>Importing data</w:t>
      </w:r>
    </w:p>
    <w:p>
      <w:pPr>
        <w:spacing w:after="60"/>
      </w:pPr>
      <w:r>
        <w:rPr>
          <w:b/>
          <w:color w:val="0072B2"/>
        </w:rPr>
        <w:t xml:space="preserve">6.  </w:t>
      </w:r>
      <w:r>
        <w:t>Measurements</w:t>
      </w:r>
    </w:p>
    <w:p>
      <w:pPr>
        <w:spacing w:after="60"/>
      </w:pPr>
      <w:r>
        <w:rPr>
          <w:b/>
          <w:color w:val="0072B2"/>
        </w:rPr>
        <w:t xml:space="preserve">7.  </w:t>
      </w:r>
      <w:r>
        <w:t>The Calculator</w:t>
      </w:r>
    </w:p>
    <w:p>
      <w:pPr>
        <w:spacing w:after="60"/>
      </w:pPr>
      <w:r>
        <w:rPr>
          <w:b/>
          <w:color w:val="0072B2"/>
        </w:rPr>
        <w:t xml:space="preserve">8.  </w:t>
      </w:r>
      <w:r>
        <w:t>Plots — overlaying runs</w:t>
      </w:r>
    </w:p>
    <w:p>
      <w:pPr>
        <w:spacing w:after="60"/>
      </w:pPr>
      <w:r>
        <w:rPr>
          <w:b/>
          <w:color w:val="0072B2"/>
        </w:rPr>
        <w:t xml:space="preserve">9.  </w:t>
      </w:r>
      <w:r>
        <w:t>Exporting</w:t>
      </w:r>
    </w:p>
    <w:p>
      <w:pPr>
        <w:spacing w:after="60"/>
      </w:pPr>
      <w:r>
        <w:rPr>
          <w:b/>
          <w:color w:val="0072B2"/>
        </w:rPr>
        <w:t xml:space="preserve">10.  </w:t>
      </w:r>
      <w:r>
        <w:t>Validation</w:t>
      </w:r>
    </w:p>
    <w:p>
      <w:pPr>
        <w:spacing w:after="60"/>
      </w:pPr>
      <w:r>
        <w:rPr>
          <w:b/>
          <w:color w:val="0072B2"/>
        </w:rPr>
        <w:t xml:space="preserve">11.  </w:t>
      </w:r>
      <w:r>
        <w:t>Settings</w:t>
      </w:r>
    </w:p>
    <w:p>
      <w:pPr>
        <w:spacing w:after="60"/>
      </w:pPr>
      <w:r>
        <w:rPr>
          <w:b/>
          <w:color w:val="0072B2"/>
        </w:rPr>
        <w:t xml:space="preserve">12.  </w:t>
      </w:r>
      <w:r>
        <w:t>Sessions, undo and shortcuts</w:t>
      </w:r>
    </w:p>
    <w:p>
      <w:pPr>
        <w:spacing w:after="60"/>
      </w:pPr>
      <w:r>
        <w:rPr>
          <w:b/>
          <w:color w:val="0072B2"/>
        </w:rPr>
        <w:t xml:space="preserve">13.  </w:t>
      </w:r>
      <w:r>
        <w:t>If something goes wrong</w:t>
      </w:r>
    </w:p>
    <w:p>
      <w:pPr>
        <w:spacing w:after="60"/>
      </w:pPr>
      <w:r>
        <w:rPr>
          <w:b/>
          <w:color w:val="0072B2"/>
        </w:rPr>
        <w:t xml:space="preserve">14.  </w:t>
      </w:r>
      <w:r>
        <w:t>About</w:t>
      </w:r>
    </w:p>
    <w:p>
      <w:r>
        <w:br w:type="page"/>
      </w:r>
    </w:p>
    <w:p>
      <w:pPr>
        <w:pStyle w:val="Heading1"/>
      </w:pPr>
      <w:r>
        <w:t>1. What AeroLab Studio does</w:t>
      </w:r>
    </w:p>
    <w:p>
      <w:r>
        <w:t xml:space="preserve">Everything in the three source papers on aerogel fibres (Omranpour et al.) is either </w:t>
      </w:r>
      <w:r>
        <w:rPr>
          <w:b/>
        </w:rPr>
        <w:t>an equation</w:t>
      </w:r>
      <w:r>
        <w:t xml:space="preserve"> or </w:t>
      </w:r>
      <w:r>
        <w:rPr>
          <w:b/>
        </w:rPr>
        <w:t>a measurement</w:t>
      </w:r>
      <w:r>
        <w:t>, and the application is built around that split:</w:t>
      </w:r>
    </w:p>
    <w:p>
      <w:pPr>
        <w:pStyle w:val="ListBullet"/>
        <w:spacing w:after="60"/>
      </w:pPr>
      <w:r>
        <w:t xml:space="preserve">An </w:t>
      </w:r>
      <w:r>
        <w:rPr>
          <w:b/>
        </w:rPr>
        <w:t>equation</w:t>
      </w:r>
      <w:r>
        <w:t xml:space="preserve"> takes a few numbers and returns one — porosity from two densities, the Knudsen correction, the SWT parameter. You work these on the </w:t>
      </w:r>
      <w:r>
        <w:rPr>
          <w:b/>
        </w:rPr>
        <w:t>Calculator</w:t>
      </w:r>
      <w:r>
        <w:t xml:space="preserve"> page.</w:t>
      </w:r>
    </w:p>
    <w:p>
      <w:pPr>
        <w:pStyle w:val="ListBullet"/>
        <w:spacing w:after="60"/>
      </w:pPr>
      <w:r>
        <w:t xml:space="preserve">A </w:t>
      </w:r>
      <w:r>
        <w:rPr>
          <w:b/>
        </w:rPr>
        <w:t>measurement</w:t>
      </w:r>
      <w:r>
        <w:t xml:space="preserve"> takes columns of instrument data and returns many numbers plus graphs — a tensile pull gives a modulus, UTS, elongation, toughness and a stress–strain curve. These live on the </w:t>
      </w:r>
      <w:r>
        <w:rPr>
          <w:b/>
        </w:rPr>
        <w:t>Data</w:t>
      </w:r>
      <w:r>
        <w:t xml:space="preserve"> and </w:t>
      </w:r>
      <w:r>
        <w:rPr>
          <w:b/>
        </w:rPr>
        <w:t>Measurements</w:t>
      </w:r>
      <w:r>
        <w:t xml:space="preserve"> pages.</w:t>
      </w:r>
    </w:p>
    <w:p>
      <w:r>
        <w:t>Both halves feed the same exports: a formatted Excel workbook, a styled OriginLab project and publication figures.</w:t>
      </w:r>
    </w:p>
    <w:p>
      <w:pPr>
        <w:pStyle w:val="Heading1"/>
      </w:pPr>
      <w:r>
        <w:t>2. Installing and starting</w:t>
      </w:r>
    </w:p>
    <w:p>
      <w:pPr>
        <w:pStyle w:val="Heading2"/>
      </w:pPr>
      <w:r>
        <w:t>Installer (recommended)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1.  </w:t>
      </w:r>
      <w:r>
        <w:t xml:space="preserve">Run </w:t>
      </w:r>
      <w:r>
        <w:rPr>
          <w:rFonts w:ascii="Consolas" w:hAnsi="Consolas"/>
          <w:sz w:val="19"/>
        </w:rPr>
        <w:t>dist\AeroLabStudio-Setup-1.0.0.exe</w:t>
      </w:r>
      <w:r>
        <w:t xml:space="preserve"> and follow the wizard (it creates a Start-menu shortcut and, if you tick it, a desktop shortcut; it can be removed from Windows Settings › Apps).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2.  </w:t>
      </w:r>
      <w:r>
        <w:t>Start the application from the Start menu. A splash screen shows while it loads.</w:t>
      </w:r>
    </w:p>
    <w:p>
      <w:pPr>
        <w:pStyle w:val="Heading2"/>
      </w:pPr>
      <w:r>
        <w:t>Portable copy (no installation)</w:t>
      </w:r>
    </w:p>
    <w:p>
      <w:r>
        <w:t xml:space="preserve">Unzip </w:t>
      </w:r>
      <w:r>
        <w:rPr>
          <w:rFonts w:ascii="Consolas" w:hAnsi="Consolas"/>
          <w:sz w:val="19"/>
        </w:rPr>
        <w:t>dist\AeroLabStudio-1.0.0-portable.zip</w:t>
      </w:r>
      <w:r>
        <w:t xml:space="preserve"> anywhere and run </w:t>
      </w:r>
      <w:r>
        <w:rPr>
          <w:rFonts w:ascii="Consolas" w:hAnsi="Consolas"/>
          <w:sz w:val="19"/>
        </w:rPr>
        <w:t>AeroLabStudio.exe</w:t>
      </w:r>
      <w:r>
        <w:t xml:space="preserve"> inside the folder. Keep the whole folder together — the exe needs every file next to it.</w:t>
      </w:r>
    </w:p>
    <w:p>
      <w:pPr>
        <w:pStyle w:val="Heading2"/>
      </w:pPr>
      <w:r>
        <w:t>From source (developers)</w:t>
      </w:r>
    </w:p>
    <w:p>
      <w:r>
        <w:t xml:space="preserve">With Python 3.11 or newer: </w:t>
      </w:r>
      <w:r>
        <w:rPr>
          <w:rFonts w:ascii="Consolas" w:hAnsi="Consolas"/>
          <w:sz w:val="19"/>
        </w:rPr>
        <w:t>pip install -r requirements.txt</w:t>
      </w:r>
      <w:r>
        <w:t xml:space="preserve">, then </w:t>
      </w:r>
      <w:r>
        <w:rPr>
          <w:rFonts w:ascii="Consolas" w:hAnsi="Consolas"/>
          <w:sz w:val="19"/>
        </w:rPr>
        <w:t>python main.py</w:t>
      </w:r>
      <w:r>
        <w:t xml:space="preserve">. </w:t>
      </w:r>
      <w:r>
        <w:rPr>
          <w:rFonts w:ascii="Consolas" w:hAnsi="Consolas"/>
          <w:sz w:val="19"/>
        </w:rPr>
        <w:t>python main.py data.csv …</w:t>
      </w:r>
      <w:r>
        <w:t xml:space="preserve"> starts and imports those files.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3FB"/>
          </w:tcPr>
          <w:p>
            <w:pPr>
              <w:spacing w:after="40"/>
            </w:pPr>
            <w:r/>
            <w:r>
              <w:rPr>
                <w:b/>
                <w:color w:val="0072B2"/>
              </w:rPr>
              <w:t xml:space="preserve">Tip   </w:t>
            </w:r>
            <w:r>
              <w:rPr>
                <w:rFonts w:ascii="Consolas" w:hAnsi="Consolas"/>
                <w:sz w:val="19"/>
              </w:rPr>
              <w:t>python main.py --selftest</w:t>
            </w:r>
            <w:r>
              <w:t xml:space="preserve"> (or the exe with </w:t>
            </w:r>
            <w:r>
              <w:rPr>
                <w:rFonts w:ascii="Consolas" w:hAnsi="Consolas"/>
                <w:sz w:val="19"/>
              </w:rPr>
              <w:t>--selftest</w:t>
            </w:r>
            <w:r>
              <w:t xml:space="preserve">) exercises the whole application without opening a window and prints PASSED or FAILED — useful after installing on a new PC. </w:t>
            </w:r>
            <w:r>
              <w:rPr>
                <w:rFonts w:ascii="Consolas" w:hAnsi="Consolas"/>
                <w:sz w:val="19"/>
              </w:rPr>
              <w:t>--version</w:t>
            </w:r>
            <w:r>
              <w:t xml:space="preserve"> prints the version.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A7280"/>
          <w:sz w:val="18"/>
        </w:rPr>
        <w:t>Figure 1. The Home page: session tiles, the library, where to start and recent analyses.</w:t>
      </w:r>
    </w:p>
    <w:p>
      <w:pPr>
        <w:pStyle w:val="Heading1"/>
      </w:pPr>
      <w:r>
        <w:t>3. The window</w:t>
      </w:r>
    </w:p>
    <w:p>
      <w:r>
        <w:t xml:space="preserve">Every page is one click away on the dark </w:t>
      </w:r>
      <w:r>
        <w:rPr>
          <w:b/>
        </w:rPr>
        <w:t>navigation rail</w:t>
      </w:r>
      <w:r>
        <w:t xml:space="preserve"> on the left, grouped as follows: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0072B2"/>
          </w:tcPr>
          <w:p>
            <w:r/>
            <w:r>
              <w:rPr>
                <w:b/>
                <w:color w:val="FFFFFF"/>
                <w:sz w:val="19"/>
              </w:rPr>
              <w:t>Rail group</w:t>
            </w:r>
          </w:p>
        </w:tc>
        <w:tc>
          <w:tcPr>
            <w:tcW w:type="dxa" w:w="7257"/>
            <w:shd w:val="clear" w:color="auto" w:fill="0072B2"/>
          </w:tcPr>
          <w:p>
            <w:r/>
            <w:r>
              <w:rPr>
                <w:b/>
                <w:color w:val="FFFFFF"/>
                <w:sz w:val="19"/>
              </w:rPr>
              <w:t>Pages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Session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sz w:val="19"/>
              </w:rPr>
              <w:t>Home, Data</w:t>
            </w:r>
          </w:p>
        </w:tc>
      </w:tr>
      <w:tr>
        <w:tc>
          <w:tcPr>
            <w:tcW w:type="dxa" w:w="2041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Analyse</w:t>
            </w:r>
          </w:p>
        </w:tc>
        <w:tc>
          <w:tcPr>
            <w:tcW w:type="dxa" w:w="7257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Calculator, Measurements, Plots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Output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sz w:val="19"/>
              </w:rPr>
              <w:t>Export, Validation, Settings, About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</w:rPr>
        <w:t>Undo / Redo</w:t>
      </w:r>
      <w:r>
        <w:t xml:space="preserve"> buttons sit at the top of the rail (also </w:t>
      </w:r>
      <w:r>
        <w:rPr>
          <w:b/>
        </w:rPr>
        <w:t>Ctrl+Z / Ctrl+Y</w:t>
      </w:r>
      <w:r>
        <w:t xml:space="preserve"> and the Edit menu). Their tooltips name the action that will be undone.</w:t>
      </w:r>
    </w:p>
    <w:p>
      <w:pPr>
        <w:pStyle w:val="ListBullet"/>
        <w:spacing w:after="60"/>
      </w:pPr>
      <w:r>
        <w:rPr>
          <w:b/>
        </w:rPr>
        <w:t>Status bar</w:t>
      </w:r>
      <w:r>
        <w:t xml:space="preserve"> (bottom): the last action, and on the right a count or the plot coordinates under the mouse.</w:t>
      </w:r>
    </w:p>
    <w:p>
      <w:pPr>
        <w:pStyle w:val="ListBullet"/>
        <w:spacing w:after="60"/>
      </w:pPr>
      <w:r>
        <w:rPr>
          <w:b/>
        </w:rPr>
        <w:t>Notifications</w:t>
      </w:r>
      <w:r>
        <w:t xml:space="preserve"> appear briefly in the bottom-right corner and never block your work; anything that needs a decision opens a dialog instead.</w:t>
      </w:r>
    </w:p>
    <w:p>
      <w:pPr>
        <w:pStyle w:val="ListBullet"/>
        <w:spacing w:after="60"/>
      </w:pPr>
      <w:r>
        <w:rPr>
          <w:b/>
        </w:rPr>
        <w:t>Command palette</w:t>
      </w:r>
      <w:r>
        <w:t xml:space="preserve"> — press </w:t>
      </w:r>
      <w:r>
        <w:rPr>
          <w:b/>
        </w:rPr>
        <w:t>Ctrl+K</w:t>
      </w:r>
      <w:r>
        <w:t xml:space="preserve"> and type part of any action or page name, then Enter.</w:t>
      </w:r>
    </w:p>
    <w:p>
      <w:pPr>
        <w:pStyle w:val="ListBullet"/>
        <w:spacing w:after="60"/>
      </w:pPr>
      <w:r>
        <w:rPr>
          <w:b/>
        </w:rPr>
        <w:t>Light / dark theme</w:t>
      </w:r>
      <w:r>
        <w:t xml:space="preserve"> — </w:t>
      </w:r>
      <w:r>
        <w:rPr>
          <w:b/>
        </w:rPr>
        <w:t>Ctrl+T</w:t>
      </w:r>
      <w:r>
        <w:t xml:space="preserve"> or </w:t>
      </w:r>
      <w:r>
        <w:rPr>
          <w:b/>
        </w:rPr>
        <w:t>View › Toggle light / dark theme</w:t>
      </w:r>
      <w:r>
        <w:t>. Plots follow the theme on screen; exported figures are always light.</w:t>
      </w:r>
    </w:p>
    <w:p>
      <w:pPr>
        <w:pStyle w:val="ListBullet"/>
        <w:spacing w:after="60"/>
      </w:pPr>
      <w:r>
        <w:rPr>
          <w:b/>
        </w:rPr>
        <w:t>Ctrl+1 … Ctrl+9</w:t>
      </w:r>
      <w:r>
        <w:t xml:space="preserve"> jump straight to the pages in rail order.</w:t>
      </w:r>
    </w:p>
    <w:p>
      <w:r>
        <w:t>The status bar on the right counts datasets, runs and results in the session.</w:t>
      </w:r>
    </w:p>
    <w:p>
      <w:pPr>
        <w:pStyle w:val="Heading1"/>
      </w:pPr>
      <w:r>
        <w:t>4. Quick start with the demo data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1.  </w:t>
      </w:r>
      <w:r>
        <w:t xml:space="preserve">Press </w:t>
      </w:r>
      <w:r>
        <w:rPr>
          <w:b/>
        </w:rPr>
        <w:t>Ctrl+D</w:t>
      </w:r>
      <w:r>
        <w:t xml:space="preserve"> (or </w:t>
      </w:r>
      <w:r>
        <w:rPr>
          <w:b/>
        </w:rPr>
        <w:t>Data › Load demo data</w:t>
      </w:r>
      <w:r>
        <w:t>). Eleven demo datasets are imported — one for each kind of measurement.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2.  </w:t>
      </w:r>
      <w:r>
        <w:t xml:space="preserve">On the </w:t>
      </w:r>
      <w:r>
        <w:rPr>
          <w:b/>
        </w:rPr>
        <w:t>Data</w:t>
      </w:r>
      <w:r>
        <w:t xml:space="preserve"> page, click a dataset to see its preview, the measurement the application guessed and the column mapping.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3.  </w:t>
      </w:r>
      <w:r>
        <w:t xml:space="preserve">Click </w:t>
      </w:r>
      <w:r>
        <w:rPr>
          <w:b/>
        </w:rPr>
        <w:t>Analyse all imported</w:t>
      </w:r>
      <w:r>
        <w:t xml:space="preserve">. The application opens </w:t>
      </w:r>
      <w:r>
        <w:rPr>
          <w:b/>
        </w:rPr>
        <w:t>Measurements</w:t>
      </w:r>
      <w:r>
        <w:t xml:space="preserve"> with one run per dataset.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4.  </w:t>
      </w:r>
      <w:r>
        <w:t xml:space="preserve">Click a run and look at its </w:t>
      </w:r>
      <w:r>
        <w:rPr>
          <w:b/>
        </w:rPr>
        <w:t>Results</w:t>
      </w:r>
      <w:r>
        <w:t xml:space="preserve">, </w:t>
      </w:r>
      <w:r>
        <w:rPr>
          <w:b/>
        </w:rPr>
        <w:t>Graph</w:t>
      </w:r>
      <w:r>
        <w:t xml:space="preserve"> and </w:t>
      </w:r>
      <w:r>
        <w:rPr>
          <w:b/>
        </w:rPr>
        <w:t>Settings</w:t>
      </w:r>
      <w:r>
        <w:t xml:space="preserve"> tabs.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5.  </w:t>
      </w:r>
      <w:r>
        <w:t xml:space="preserve">Open </w:t>
      </w:r>
      <w:r>
        <w:rPr>
          <w:b/>
        </w:rPr>
        <w:t>Export</w:t>
      </w:r>
      <w:r>
        <w:t xml:space="preserve"> and click </w:t>
      </w:r>
      <w:r>
        <w:rPr>
          <w:b/>
        </w:rPr>
        <w:t>Export to Excel…</w:t>
      </w:r>
      <w:r>
        <w:t xml:space="preserve"> or </w:t>
      </w:r>
      <w:r>
        <w:rPr>
          <w:b/>
        </w:rPr>
        <w:t>Export to Origin…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A7280"/>
          <w:sz w:val="18"/>
        </w:rPr>
        <w:t>Figure 2. Measurements after analysing the demo data: runs on the left, results on the right.</w:t>
      </w:r>
    </w:p>
    <w:p>
      <w:pPr>
        <w:pStyle w:val="Heading1"/>
      </w:pPr>
      <w:r>
        <w:t>5. Importing data</w:t>
      </w:r>
    </w:p>
    <w:p>
      <w:r>
        <w:t xml:space="preserve">Use </w:t>
      </w:r>
      <w:r>
        <w:rPr>
          <w:b/>
        </w:rPr>
        <w:t>Import files…</w:t>
      </w:r>
      <w:r>
        <w:t xml:space="preserve"> (</w:t>
      </w:r>
      <w:r>
        <w:rPr>
          <w:b/>
        </w:rPr>
        <w:t>Ctrl+O</w:t>
      </w:r>
      <w:r>
        <w:t xml:space="preserve">) on the Data page, or drag files onto the drop zone. Dropping a </w:t>
      </w:r>
      <w:r>
        <w:rPr>
          <w:b/>
        </w:rPr>
        <w:t>folder</w:t>
      </w:r>
      <w:r>
        <w:t xml:space="preserve"> imports every readable file in it. Understood formats: </w:t>
      </w:r>
      <w:r>
        <w:rPr>
          <w:rFonts w:ascii="Consolas" w:hAnsi="Consolas"/>
          <w:sz w:val="19"/>
        </w:rPr>
        <w:t>.csv .tsv .txt .dat .asc .prn .xlsx .xlsm .xls .json .npz</w:t>
      </w:r>
      <w:r>
        <w:t>.</w:t>
      </w:r>
    </w:p>
    <w:p>
      <w:r>
        <w:t>Real instrument exports are messy, and the importer expects that: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309"/>
            <w:shd w:val="clear" w:color="auto" w:fill="0072B2"/>
          </w:tcPr>
          <w:p>
            <w:r/>
            <w:r>
              <w:rPr>
                <w:b/>
                <w:color w:val="FFFFFF"/>
                <w:sz w:val="19"/>
              </w:rPr>
              <w:t>What the file does</w:t>
            </w:r>
          </w:p>
        </w:tc>
        <w:tc>
          <w:tcPr>
            <w:tcW w:type="dxa" w:w="4989"/>
            <w:shd w:val="clear" w:color="auto" w:fill="0072B2"/>
          </w:tcPr>
          <w:p>
            <w:r/>
            <w:r>
              <w:rPr>
                <w:b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9"/>
              </w:rPr>
              <w:t>Twenty lines of instrument metadata before the header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sz w:val="19"/>
              </w:rPr>
              <w:t>Detected and skipped; shown in the preview</w:t>
            </w:r>
          </w:p>
        </w:tc>
      </w:tr>
      <w:tr>
        <w:tc>
          <w:tcPr>
            <w:tcW w:type="dxa" w:w="4309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Units on a second header row (Origin's layout)</w:t>
            </w:r>
          </w:p>
        </w:tc>
        <w:tc>
          <w:tcPr>
            <w:tcW w:type="dxa" w:w="4989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Read as units, not as data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Consolas" w:hAnsi="Consolas"/>
                <w:sz w:val="19"/>
              </w:rPr>
              <w:t>Stress (MPa)</w:t>
            </w:r>
            <w:r>
              <w:rPr>
                <w:sz w:val="19"/>
              </w:rPr>
              <w:t xml:space="preserve"> in one header cell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sz w:val="19"/>
              </w:rPr>
              <w:t>Split into a name and a unit</w:t>
            </w:r>
          </w:p>
        </w:tc>
      </w:tr>
      <w:tr>
        <w:tc>
          <w:tcPr>
            <w:tcW w:type="dxa" w:w="4309"/>
            <w:shd w:val="clear" w:color="auto" w:fill="F3F6F9"/>
          </w:tcPr>
          <w:p>
            <w:pPr>
              <w:spacing w:after="20"/>
            </w:pPr>
            <w:r/>
            <w:r>
              <w:rPr>
                <w:rFonts w:ascii="Consolas" w:hAnsi="Consolas"/>
                <w:sz w:val="19"/>
              </w:rPr>
              <w:t>k (mW/(m·K))</w:t>
            </w:r>
            <w:r>
              <w:rPr>
                <w:sz w:val="19"/>
              </w:rPr>
              <w:t xml:space="preserve"> — nested brackets</w:t>
            </w:r>
          </w:p>
        </w:tc>
        <w:tc>
          <w:tcPr>
            <w:tcW w:type="dxa" w:w="4989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Split correctly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Consolas" w:hAnsi="Consolas"/>
                <w:sz w:val="19"/>
              </w:rPr>
              <w:t>1,234</w:t>
            </w:r>
            <w:r>
              <w:rPr>
                <w:sz w:val="19"/>
              </w:rPr>
              <w:t xml:space="preserve"> meaning 1.234 (European locale)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sz w:val="19"/>
              </w:rPr>
              <w:t>Detected by counting patterns across the file</w:t>
            </w:r>
          </w:p>
        </w:tc>
      </w:tr>
      <w:tr>
        <w:tc>
          <w:tcPr>
            <w:tcW w:type="dxa" w:w="4309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Semicolons, tabs or runs of spaces as separators</w:t>
            </w:r>
          </w:p>
        </w:tc>
        <w:tc>
          <w:tcPr>
            <w:tcW w:type="dxa" w:w="4989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Sniffed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9"/>
              </w:rPr>
              <w:t>A multi-sheet workbook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sz w:val="19"/>
              </w:rPr>
              <w:t>One dataset per sheet that holds numbers</w:t>
            </w:r>
          </w:p>
        </w:tc>
      </w:tr>
      <w:tr>
        <w:tc>
          <w:tcPr>
            <w:tcW w:type="dxa" w:w="4309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A text column such as a sample name</w:t>
            </w:r>
          </w:p>
        </w:tc>
        <w:tc>
          <w:tcPr>
            <w:tcW w:type="dxa" w:w="4989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Kept as labels</w:t>
            </w:r>
          </w:p>
        </w:tc>
      </w:tr>
    </w:tbl>
    <w:p>
      <w:pPr>
        <w:spacing w:after="40"/>
      </w:pPr>
    </w:p>
    <w:p>
      <w:pPr>
        <w:pStyle w:val="Heading2"/>
      </w:pPr>
      <w:r>
        <w:t>Check before you analyse</w:t>
      </w:r>
    </w:p>
    <w:p>
      <w:r>
        <w:t xml:space="preserve">Selecting a dataset shows its </w:t>
      </w:r>
      <w:r>
        <w:rPr>
          <w:b/>
        </w:rPr>
        <w:t>Preview</w:t>
      </w:r>
      <w:r>
        <w:t xml:space="preserve">; the </w:t>
      </w:r>
      <w:r>
        <w:rPr>
          <w:b/>
        </w:rPr>
        <w:t>Analyse</w:t>
      </w:r>
      <w:r>
        <w:t xml:space="preserve"> card beneath it shows the measurement the application guessed and the column mapping. A pill says whether every required column was matched. Nothing is analysed until you press a button, and every guess is a drop-down you can change.</w:t>
      </w:r>
    </w:p>
    <w:p>
      <w:pPr>
        <w:pStyle w:val="ListBullet"/>
        <w:spacing w:after="60"/>
      </w:pPr>
      <w:r>
        <w:rPr>
          <w:b/>
        </w:rPr>
        <w:t>Analyse this dataset</w:t>
      </w:r>
      <w:r>
        <w:t xml:space="preserve"> runs the measurement shown.</w:t>
      </w:r>
    </w:p>
    <w:p>
      <w:pPr>
        <w:pStyle w:val="ListBullet"/>
        <w:spacing w:after="60"/>
      </w:pPr>
      <w:r>
        <w:rPr>
          <w:b/>
        </w:rPr>
        <w:t>Analyse all imported</w:t>
      </w:r>
      <w:r>
        <w:t xml:space="preserve"> guesses for every dataset, runs the confident ones and reports how many succeeded.</w:t>
      </w:r>
    </w:p>
    <w:p>
      <w:pPr>
        <w:pStyle w:val="ListBullet"/>
        <w:spacing w:after="60"/>
      </w:pPr>
      <w:r>
        <w:rPr>
          <w:b/>
        </w:rPr>
        <w:t>Remove</w:t>
      </w:r>
      <w:r>
        <w:t xml:space="preserve"> and </w:t>
      </w:r>
      <w:r>
        <w:rPr>
          <w:b/>
        </w:rPr>
        <w:t>Clear all</w:t>
      </w:r>
      <w:r>
        <w:t xml:space="preserve"> take datasets out of the session (undoable).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A7280"/>
          <w:sz w:val="18"/>
        </w:rPr>
        <w:t>Figure 3. The Data page: imported datasets, the preview, and the measurement and column mapping.</w:t>
      </w:r>
    </w:p>
    <w:p>
      <w:pPr>
        <w:pStyle w:val="Heading1"/>
      </w:pPr>
      <w:r>
        <w:t>6. Measurements</w:t>
      </w:r>
    </w:p>
    <w:p>
      <w:r>
        <w:t xml:space="preserve">One row per analysed dataset in the </w:t>
      </w:r>
      <w:r>
        <w:rPr>
          <w:b/>
        </w:rPr>
        <w:t>Runs</w:t>
      </w:r>
      <w:r>
        <w:t xml:space="preserve"> list. Three tabs on the right:</w:t>
      </w:r>
    </w:p>
    <w:p>
      <w:pPr>
        <w:pStyle w:val="ListBullet"/>
        <w:spacing w:after="60"/>
      </w:pPr>
      <w:r>
        <w:rPr>
          <w:b/>
        </w:rPr>
        <w:t>Results</w:t>
      </w:r>
      <w:r>
        <w:t xml:space="preserve"> — every computed quantity with its unit and, where it matters, a note saying how it was obtained.</w:t>
      </w:r>
    </w:p>
    <w:p>
      <w:pPr>
        <w:pStyle w:val="ListBullet"/>
        <w:spacing w:after="60"/>
      </w:pPr>
      <w:r>
        <w:rPr>
          <w:b/>
        </w:rPr>
        <w:t>Graph</w:t>
      </w:r>
      <w:r>
        <w:t xml:space="preserve"> — the graphs the measurement defines, with a results box placed where the data leaves room. </w:t>
      </w:r>
      <w:r>
        <w:rPr>
          <w:b/>
        </w:rPr>
        <w:t>Save image…</w:t>
      </w:r>
      <w:r>
        <w:t xml:space="preserve"> writes PNG, PDF, SVG or TIFF.</w:t>
      </w:r>
    </w:p>
    <w:p>
      <w:pPr>
        <w:pStyle w:val="ListBullet"/>
        <w:spacing w:after="60"/>
      </w:pPr>
      <w:r>
        <w:rPr>
          <w:b/>
        </w:rPr>
        <w:t>Settings</w:t>
      </w:r>
      <w:r>
        <w:t xml:space="preserve"> — the analyser's options (the BET window, the DSC heating rate, the offset-yield strain…). Change them and click </w:t>
      </w:r>
      <w:r>
        <w:rPr>
          <w:b/>
        </w:rPr>
        <w:t>Re-run with these settings</w:t>
      </w:r>
      <w:r>
        <w:t xml:space="preserve">; the original data is untouched and </w:t>
      </w:r>
      <w:r>
        <w:rPr>
          <w:b/>
        </w:rPr>
        <w:t>Ctrl+Z</w:t>
      </w:r>
      <w:r>
        <w:t xml:space="preserve"> puts the previous result back.</w:t>
      </w:r>
    </w:p>
    <w:p>
      <w:r>
        <w:rPr>
          <w:b/>
        </w:rPr>
        <w:t>Remove run</w:t>
      </w:r>
      <w:r>
        <w:t xml:space="preserve"> (top right) deletes the selected run.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54"/>
            <w:shd w:val="clear" w:color="auto" w:fill="0072B2"/>
          </w:tcPr>
          <w:p>
            <w:r/>
            <w:r>
              <w:rPr>
                <w:b/>
                <w:color w:val="FFFFFF"/>
                <w:sz w:val="19"/>
              </w:rPr>
              <w:t>Measurement</w:t>
            </w:r>
          </w:p>
        </w:tc>
        <w:tc>
          <w:tcPr>
            <w:tcW w:type="dxa" w:w="2494"/>
            <w:shd w:val="clear" w:color="auto" w:fill="0072B2"/>
          </w:tcPr>
          <w:p>
            <w:r/>
            <w:r>
              <w:rPr>
                <w:b/>
                <w:color w:val="FFFFFF"/>
                <w:sz w:val="19"/>
              </w:rPr>
              <w:t>Needs</w:t>
            </w:r>
          </w:p>
        </w:tc>
        <w:tc>
          <w:tcPr>
            <w:tcW w:type="dxa" w:w="4649"/>
            <w:shd w:val="clear" w:color="auto" w:fill="0072B2"/>
          </w:tcPr>
          <w:p>
            <w:r/>
            <w:r>
              <w:rPr>
                <w:b/>
                <w:color w:val="FFFFFF"/>
                <w:sz w:val="19"/>
              </w:rPr>
              <w:t>Gives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9"/>
              </w:rPr>
              <w:t>Tensile stress–strain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strain %, stress MPa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9"/>
              </w:rPr>
              <w:t>E, UTS, strain at UTS, elongation at break, toughness, offset yield, resilience</w:t>
            </w:r>
          </w:p>
        </w:tc>
      </w:tr>
      <w:tr>
        <w:tc>
          <w:tcPr>
            <w:tcW w:type="dxa" w:w="2154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Cyclic loading–unloading</w:t>
            </w:r>
          </w:p>
        </w:tc>
        <w:tc>
          <w:tcPr>
            <w:tcW w:type="dxa" w:w="2494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strain %, stress MPa</w:t>
            </w:r>
          </w:p>
        </w:tc>
        <w:tc>
          <w:tcPr>
            <w:tcW w:type="dxa" w:w="4649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cycles, permanent set, hysteresis energy, stress softening, ratcheting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9"/>
              </w:rPr>
              <w:t>S–N (Basquin)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Nf, stress amplitude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9"/>
              </w:rPr>
              <w:t>σ′f, b, R², predicted life</w:t>
            </w:r>
          </w:p>
        </w:tc>
      </w:tr>
      <w:tr>
        <w:tc>
          <w:tcPr>
            <w:tcW w:type="dxa" w:w="2154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Strain–life</w:t>
            </w:r>
          </w:p>
        </w:tc>
        <w:tc>
          <w:tcPr>
            <w:tcW w:type="dxa" w:w="2494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Nf, elastic and plastic amplitudes</w:t>
            </w:r>
          </w:p>
        </w:tc>
        <w:tc>
          <w:tcPr>
            <w:tcW w:type="dxa" w:w="4649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b, c, ε′f, σ′f, transition life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9"/>
              </w:rPr>
              <w:t>Density scaling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density, modulus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9"/>
              </w:rPr>
              <w:t>scaling exponent with confidence interval, against Gibson–Ashby</w:t>
            </w:r>
          </w:p>
        </w:tc>
      </w:tr>
      <w:tr>
        <w:tc>
          <w:tcPr>
            <w:tcW w:type="dxa" w:w="2154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TGA</w:t>
            </w:r>
          </w:p>
        </w:tc>
        <w:tc>
          <w:tcPr>
            <w:tcW w:type="dxa" w:w="2494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temperature, weight %</w:t>
            </w:r>
          </w:p>
        </w:tc>
        <w:tc>
          <w:tcPr>
            <w:tcW w:type="dxa" w:w="4649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T at each loss threshold, onset, residue, DTG peaks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9"/>
              </w:rPr>
              <w:t>DSC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temperature, heat flow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9"/>
              </w:rPr>
              <w:t>each transition with its baseline and enthalpy, Tg estimate</w:t>
            </w:r>
          </w:p>
        </w:tc>
      </w:tr>
      <w:tr>
        <w:tc>
          <w:tcPr>
            <w:tcW w:type="dxa" w:w="2154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Thermal property set</w:t>
            </w:r>
          </w:p>
        </w:tc>
        <w:tc>
          <w:tcPr>
            <w:tcW w:type="dxa" w:w="2494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k, ρ, cp, (thickness)</w:t>
            </w:r>
          </w:p>
        </w:tc>
        <w:tc>
          <w:tcPr>
            <w:tcW w:type="dxa" w:w="4649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diffusivity, effusivity, volumetric heat capacity, R-value, clo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9"/>
              </w:rPr>
              <w:t>N₂ sorption / BET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p/p₀, adsorbed volume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9"/>
              </w:rPr>
              <w:t>BET area, Vm, C, pore volume, mean pore diameter, R²</w:t>
            </w:r>
          </w:p>
        </w:tc>
      </w:tr>
      <w:tr>
        <w:tc>
          <w:tcPr>
            <w:tcW w:type="dxa" w:w="2154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Flow curve</w:t>
            </w:r>
          </w:p>
        </w:tc>
        <w:tc>
          <w:tcPr>
            <w:tcW w:type="dxa" w:w="2494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shear rate, shear stress</w:t>
            </w:r>
          </w:p>
        </w:tc>
        <w:tc>
          <w:tcPr>
            <w:tcW w:type="dxa" w:w="4649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τy, K, n, R², apparent viscosity at 1 s⁻¹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9"/>
              </w:rPr>
              <w:t>Amplitude sweep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stress, G′, G″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9"/>
              </w:rPr>
              <w:t>plateau G′, flow point, modulus at crossover, tan δ</w:t>
            </w:r>
          </w:p>
        </w:tc>
      </w:tr>
    </w:tbl>
    <w:p>
      <w:pPr>
        <w:spacing w:after="40"/>
      </w:pPr>
    </w:p>
    <w:p>
      <w:pPr>
        <w:pStyle w:val="Heading1"/>
      </w:pPr>
      <w:r>
        <w:t>7. The Calculator</w:t>
      </w:r>
    </w:p>
    <w:p>
      <w:r>
        <w:t>Every equation, searchable. Pick one and it shows the formula, its source, and an input for each variable.</w:t>
      </w:r>
    </w:p>
    <w:p>
      <w:pPr>
        <w:pStyle w:val="ListBullet"/>
        <w:spacing w:after="60"/>
      </w:pPr>
      <w:r>
        <w:rPr>
          <w:b/>
        </w:rPr>
        <w:t>Units</w:t>
      </w:r>
      <w:r>
        <w:t xml:space="preserve"> — each input has its own unit selector; type 211 kg/m³ where the equation wants g/cm³ and the conversion happens on the way in. The result has a unit selector too.</w:t>
      </w:r>
    </w:p>
    <w:p>
      <w:pPr>
        <w:pStyle w:val="ListBullet"/>
        <w:spacing w:after="60"/>
      </w:pPr>
      <w:r>
        <w:rPr>
          <w:b/>
        </w:rPr>
        <w:t>Uncertainty</w:t>
      </w:r>
      <w:r>
        <w:t xml:space="preserve"> — the narrow </w:t>
      </w:r>
      <w:r>
        <w:rPr>
          <w:b/>
        </w:rPr>
        <w:t>±</w:t>
      </w:r>
      <w:r>
        <w:t xml:space="preserve"> box beside an input is optional. Fill in one or more and the result carries a propagated uncertainty (central differences, no linearity assumption).</w:t>
      </w:r>
    </w:p>
    <w:p>
      <w:pPr>
        <w:pStyle w:val="ListBullet"/>
        <w:spacing w:after="60"/>
      </w:pPr>
      <w:r>
        <w:rPr>
          <w:b/>
        </w:rPr>
        <w:t>Lists</w:t>
      </w:r>
      <w:r>
        <w:t xml:space="preserve"> — equations such as the rule of mixtures take several comma-separated values.</w:t>
      </w:r>
    </w:p>
    <w:p>
      <w:pPr>
        <w:pStyle w:val="ListBullet"/>
        <w:spacing w:after="60"/>
      </w:pPr>
      <w:r>
        <w:rPr>
          <w:b/>
        </w:rPr>
        <w:t>Keep result</w:t>
      </w:r>
      <w:r>
        <w:t xml:space="preserve"> adds the evaluation to </w:t>
      </w:r>
      <w:r>
        <w:rPr>
          <w:b/>
        </w:rPr>
        <w:t>Kept results</w:t>
      </w:r>
      <w:r>
        <w:t xml:space="preserve">, which is written to the Calculations sheet on export; </w:t>
      </w:r>
      <w:r>
        <w:rPr>
          <w:b/>
        </w:rPr>
        <w:t>Clear kept</w:t>
      </w:r>
      <w:r>
        <w:t xml:space="preserve"> empties it.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ula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A7280"/>
          <w:sz w:val="18"/>
        </w:rPr>
        <w:t>Figure 4. The Calculator: searchable equations, units, uncertainty and kept results.</w:t>
      </w:r>
    </w:p>
    <w:p>
      <w:pPr>
        <w:pStyle w:val="Heading1"/>
      </w:pPr>
      <w:r>
        <w:t>8. Plots — overlaying runs</w:t>
      </w:r>
    </w:p>
    <w:p>
      <w:r>
        <w:t xml:space="preserve">Overlays several runs of the same measurement on one pair of axes — for example four fibre grades on one stress–strain plot. In </w:t>
      </w:r>
      <w:r>
        <w:rPr>
          <w:b/>
        </w:rPr>
        <w:t>Choose runs</w:t>
      </w:r>
      <w:r>
        <w:t xml:space="preserve">, tick the runs (only runs of the same measurement can share axes; </w:t>
      </w:r>
      <w:r>
        <w:rPr>
          <w:b/>
        </w:rPr>
        <w:t>Select all / Select none</w:t>
      </w:r>
      <w:r>
        <w:t xml:space="preserve"> help), choose the graph, set </w:t>
      </w:r>
      <w:r>
        <w:rPr>
          <w:b/>
        </w:rPr>
        <w:t>Show fits</w:t>
      </w:r>
      <w:r>
        <w:t xml:space="preserve"> and </w:t>
      </w:r>
      <w:r>
        <w:rPr>
          <w:b/>
        </w:rPr>
        <w:t>Legend</w:t>
      </w:r>
      <w:r>
        <w:t xml:space="preserve">, then </w:t>
      </w:r>
      <w:r>
        <w:rPr>
          <w:b/>
        </w:rPr>
        <w:t>Draw</w:t>
      </w:r>
      <w:r>
        <w:t xml:space="preserve">. </w:t>
      </w:r>
      <w:r>
        <w:rPr>
          <w:b/>
        </w:rPr>
        <w:t>Save image…</w:t>
      </w:r>
      <w:r>
        <w:t xml:space="preserve"> exports the figure. Neighbouring series never share a symbol, and a fit always takes the colour of its data.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A7280"/>
          <w:sz w:val="18"/>
        </w:rPr>
        <w:t>Figure 5. Plots: several runs of one measurement on shared axes.</w:t>
      </w:r>
    </w:p>
    <w:p>
      <w:pPr>
        <w:pStyle w:val="Heading1"/>
      </w:pPr>
      <w:r>
        <w:t>9. Exporting</w:t>
      </w:r>
    </w:p>
    <w:p>
      <w:pPr>
        <w:pStyle w:val="Heading2"/>
      </w:pPr>
      <w:r>
        <w:t>What will be exported</w:t>
      </w:r>
    </w:p>
    <w:p>
      <w:r>
        <w:t xml:space="preserve">The first card on the </w:t>
      </w:r>
      <w:r>
        <w:rPr>
          <w:b/>
        </w:rPr>
        <w:t>Export</w:t>
      </w:r>
      <w:r>
        <w:t xml:space="preserve"> page lists the runs; tick the ones to include (</w:t>
      </w:r>
      <w:r>
        <w:rPr>
          <w:b/>
        </w:rPr>
        <w:t>Select all / Select none</w:t>
      </w:r>
      <w:r>
        <w:t>).</w:t>
      </w:r>
    </w:p>
    <w:p>
      <w:pPr>
        <w:pStyle w:val="Heading2"/>
      </w:pPr>
      <w:r>
        <w:t>Excel workbook</w:t>
      </w:r>
    </w:p>
    <w:p>
      <w:r>
        <w:t xml:space="preserve">Options </w:t>
      </w:r>
      <w:r>
        <w:rPr>
          <w:b/>
        </w:rPr>
        <w:t>Include raw curves</w:t>
      </w:r>
      <w:r>
        <w:t xml:space="preserve">, </w:t>
      </w:r>
      <w:r>
        <w:rPr>
          <w:b/>
        </w:rPr>
        <w:t>Include native charts</w:t>
      </w:r>
      <w:r>
        <w:t xml:space="preserve"> and </w:t>
      </w:r>
      <w:r>
        <w:rPr>
          <w:b/>
        </w:rPr>
        <w:t>Include validation sheet</w:t>
      </w:r>
      <w:r>
        <w:t xml:space="preserve">, then </w:t>
      </w:r>
      <w:r>
        <w:rPr>
          <w:b/>
        </w:rPr>
        <w:t>Export to Excel…</w:t>
      </w:r>
      <w:r>
        <w:t xml:space="preserve"> (</w:t>
      </w:r>
      <w:r>
        <w:rPr>
          <w:b/>
        </w:rPr>
        <w:t>Ctrl+E</w:t>
      </w:r>
      <w:r>
        <w:t xml:space="preserve">). The workbook contains a </w:t>
      </w:r>
      <w:r>
        <w:rPr>
          <w:b/>
        </w:rPr>
        <w:t>Summary</w:t>
      </w:r>
      <w:r>
        <w:t xml:space="preserve"> of every result, </w:t>
      </w:r>
      <w:r>
        <w:rPr>
          <w:b/>
        </w:rPr>
        <w:t>Calculations</w:t>
      </w:r>
      <w:r>
        <w:t xml:space="preserve"> (kept equations), </w:t>
      </w:r>
      <w:r>
        <w:rPr>
          <w:b/>
        </w:rPr>
        <w:t>Validation</w:t>
      </w:r>
      <w:r>
        <w:t xml:space="preserve">, one sheet per dataset (results, settings used, raw and derived curves), native editable </w:t>
      </w:r>
      <w:r>
        <w:rPr>
          <w:b/>
        </w:rPr>
        <w:t>Charts</w:t>
      </w:r>
      <w:r>
        <w:t xml:space="preserve">, and </w:t>
      </w:r>
      <w:r>
        <w:rPr>
          <w:b/>
        </w:rPr>
        <w:t>Provenance</w:t>
      </w:r>
      <w:r>
        <w:t xml:space="preserve"> (versions, source files, settings, timestamp).</w:t>
      </w:r>
    </w:p>
    <w:p>
      <w:pPr>
        <w:pStyle w:val="Heading2"/>
      </w:pPr>
      <w:r>
        <w:t>OriginLab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1.  </w:t>
      </w:r>
      <w:r>
        <w:t xml:space="preserve">Open the </w:t>
      </w:r>
      <w:r>
        <w:rPr>
          <w:b/>
        </w:rPr>
        <w:t>Export</w:t>
      </w:r>
      <w:r>
        <w:t xml:space="preserve"> page and tick the runs to send.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2.  </w:t>
      </w:r>
      <w:r>
        <w:t xml:space="preserve">Choose the options: </w:t>
      </w:r>
      <w:r>
        <w:rPr>
          <w:b/>
        </w:rPr>
        <w:t>Export PNG of each graph</w:t>
      </w:r>
      <w:r>
        <w:t xml:space="preserve">, </w:t>
      </w:r>
      <w:r>
        <w:rPr>
          <w:b/>
        </w:rPr>
        <w:t>Show Origin while it works</w:t>
      </w:r>
      <w:r>
        <w:t xml:space="preserve">, </w:t>
      </w:r>
      <w:r>
        <w:rPr>
          <w:b/>
        </w:rPr>
        <w:t>Leave Origin open afterwards</w:t>
      </w:r>
      <w:r>
        <w:t>.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3.  </w:t>
      </w:r>
      <w:r>
        <w:t xml:space="preserve">Click </w:t>
      </w:r>
      <w:r>
        <w:rPr>
          <w:b/>
        </w:rPr>
        <w:t>Export to Origin…</w:t>
      </w:r>
      <w:r>
        <w:t xml:space="preserve"> (</w:t>
      </w:r>
      <w:r>
        <w:rPr>
          <w:b/>
        </w:rPr>
        <w:t>Ctrl+R</w:t>
      </w:r>
      <w:r>
        <w:t>) and choose where to save the project. Origin takes 10–20 seconds to start; the export runs on a worker thread so the window stays responsive.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4.  </w:t>
      </w:r>
      <w:r>
        <w:t xml:space="preserve">Each dataset becomes a workbook whose columns carry Long Name, Units and Comments, plus every graph the measurement defines — publication palette, filled/open symbols, dashed fits in their data's colour, log axes where appropriate — saved as an </w:t>
      </w:r>
      <w:r>
        <w:rPr>
          <w:rFonts w:ascii="Consolas" w:hAnsi="Consolas"/>
          <w:sz w:val="19"/>
        </w:rPr>
        <w:t>.opju</w:t>
      </w:r>
      <w:r>
        <w:t xml:space="preserve"> project (and PNGs if ticked).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3FB"/>
          </w:tcPr>
          <w:p>
            <w:pPr>
              <w:spacing w:after="40"/>
            </w:pPr>
            <w:r/>
            <w:r>
              <w:rPr>
                <w:b/>
                <w:color w:val="0072B2"/>
              </w:rPr>
              <w:t xml:space="preserve">Tip   </w:t>
            </w:r>
            <w:r>
              <w:t xml:space="preserve">No Origin on this PC? Click </w:t>
            </w:r>
            <w:r>
              <w:rPr>
                <w:b/>
              </w:rPr>
              <w:t>Write LabTalk package…</w:t>
            </w:r>
            <w:r>
              <w:t xml:space="preserve">. You get Origin-ready CSV files plus </w:t>
            </w:r>
            <w:r>
              <w:rPr>
                <w:rFonts w:ascii="Consolas" w:hAnsi="Consolas"/>
                <w:sz w:val="19"/>
              </w:rPr>
              <w:t>AeroLab_build.ogs</w:t>
            </w:r>
            <w:r>
              <w:t>; copy the folder to a PC with Origin and run the script to rebuild the whole project with the same styling.</w:t>
            </w:r>
          </w:p>
        </w:tc>
      </w:tr>
    </w:tbl>
    <w:p>
      <w:pPr>
        <w:spacing w:after="40"/>
      </w:pPr>
    </w:p>
    <w:p>
      <w:pPr>
        <w:pStyle w:val="Heading2"/>
      </w:pPr>
      <w:r>
        <w:t>Figure set</w:t>
      </w:r>
    </w:p>
    <w:p>
      <w:r>
        <w:rPr>
          <w:b/>
        </w:rPr>
        <w:t>Export figures…</w:t>
      </w:r>
      <w:r>
        <w:t xml:space="preserve"> writes every graph as PNG, PDF, SVG, TIFF or EPS at single-column (85 mm), double-column (175 mm), square or presentation size, at 110, 300 or 600 dpi.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A7280"/>
          <w:sz w:val="18"/>
        </w:rPr>
        <w:t>Figure 6. The Export page: scope, Excel workbook, OriginLab and figure set.</w:t>
      </w:r>
    </w:p>
    <w:p>
      <w:pPr>
        <w:pStyle w:val="Heading1"/>
      </w:pPr>
      <w:r>
        <w:t>10. Validation</w:t>
      </w:r>
    </w:p>
    <w:p>
      <w:r>
        <w:t xml:space="preserve">Twenty-six cases recompute a number printed in one of the papers. </w:t>
      </w:r>
      <w:r>
        <w:rPr>
          <w:b/>
        </w:rPr>
        <w:t>Re-run checks</w:t>
      </w:r>
      <w:r>
        <w:t xml:space="preserve"> runs them again.</w:t>
      </w:r>
    </w:p>
    <w:p>
      <w:pPr>
        <w:pStyle w:val="ListBullet"/>
        <w:spacing w:after="60"/>
      </w:pPr>
      <w:r>
        <w:rPr>
          <w:b/>
        </w:rPr>
        <w:t>reproduced</w:t>
      </w:r>
      <w:r>
        <w:t xml:space="preserve"> — the equation returns the published value within tolerance.</w:t>
      </w:r>
    </w:p>
    <w:p>
      <w:pPr>
        <w:pStyle w:val="ListBullet"/>
        <w:spacing w:after="60"/>
      </w:pPr>
      <w:r>
        <w:rPr>
          <w:b/>
        </w:rPr>
        <w:t>documented</w:t>
      </w:r>
      <w:r>
        <w:t xml:space="preserve"> — it could not be reproduced and the comment explains why (two cases, described in the README; recorded disagreements with the source, not bugs).</w:t>
      </w:r>
    </w:p>
    <w:p>
      <w:pPr>
        <w:pStyle w:val="ListBullet"/>
        <w:spacing w:after="60"/>
      </w:pPr>
      <w:r>
        <w:rPr>
          <w:b/>
        </w:rPr>
        <w:t>FAILED</w:t>
      </w:r>
      <w:r>
        <w:t xml:space="preserve"> — should never appear; it would mean a real error in the equation library.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A7280"/>
          <w:sz w:val="18"/>
        </w:rPr>
        <w:t>Figure 7. Validation: every case, its published and computed value, and its status.</w:t>
      </w:r>
    </w:p>
    <w:p>
      <w:pPr>
        <w:pStyle w:val="Heading1"/>
      </w:pPr>
      <w:r>
        <w:t>11. Settings</w:t>
      </w:r>
    </w:p>
    <w:p>
      <w:pPr>
        <w:pStyle w:val="ListBullet"/>
        <w:spacing w:after="60"/>
      </w:pPr>
      <w:r>
        <w:rPr>
          <w:b/>
        </w:rPr>
        <w:t>Appearance</w:t>
      </w:r>
      <w:r>
        <w:t xml:space="preserve"> — theme and related options.</w:t>
      </w:r>
    </w:p>
    <w:p>
      <w:pPr>
        <w:pStyle w:val="ListBullet"/>
        <w:spacing w:after="60"/>
      </w:pPr>
      <w:r>
        <w:rPr>
          <w:b/>
        </w:rPr>
        <w:t>Figure defaults</w:t>
      </w:r>
      <w:r>
        <w:t xml:space="preserve"> — the default figure size and resolution for exports.</w:t>
      </w:r>
    </w:p>
    <w:p>
      <w:pPr>
        <w:pStyle w:val="ListBullet"/>
        <w:spacing w:after="60"/>
      </w:pPr>
      <w:r>
        <w:rPr>
          <w:b/>
        </w:rPr>
        <w:t>Report details</w:t>
      </w:r>
      <w:r>
        <w:t xml:space="preserve"> — project and author written into exports.</w:t>
      </w:r>
    </w:p>
    <w:p>
      <w:pPr>
        <w:pStyle w:val="ListBullet"/>
        <w:spacing w:after="60"/>
      </w:pPr>
      <w:r>
        <w:rPr>
          <w:b/>
        </w:rPr>
        <w:t>Environment</w:t>
      </w:r>
      <w:r>
        <w:t xml:space="preserve"> — what this build can reach (OriginLab, Excel writer…); </w:t>
      </w:r>
      <w:r>
        <w:rPr>
          <w:b/>
        </w:rPr>
        <w:t>Re-check</w:t>
      </w:r>
      <w:r>
        <w:t xml:space="preserve"> after installing something.</w:t>
      </w:r>
    </w:p>
    <w:p>
      <w:pPr>
        <w:pStyle w:val="Heading1"/>
      </w:pPr>
      <w:r>
        <w:t>12. Sessions, undo and shortcuts</w:t>
      </w:r>
    </w:p>
    <w:p>
      <w:r>
        <w:rPr>
          <w:b/>
        </w:rPr>
        <w:t>File › Save session</w:t>
      </w:r>
      <w:r>
        <w:t xml:space="preserve"> writes a </w:t>
      </w:r>
      <w:r>
        <w:rPr>
          <w:rFonts w:ascii="Consolas" w:hAnsi="Consolas"/>
          <w:sz w:val="19"/>
        </w:rPr>
        <w:t>.aerolab</w:t>
      </w:r>
      <w:r>
        <w:t xml:space="preserve"> file holding every result and curve (not the raw imports, which stay where they are); reopening it restores the analyses. </w:t>
      </w:r>
      <w:r>
        <w:rPr>
          <w:b/>
        </w:rPr>
        <w:t>Undo and redo</w:t>
      </w:r>
      <w:r>
        <w:t xml:space="preserve"> cover importing, analysing, re-running with new settings, removing and clearing; fifty steps are kept.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94"/>
            <w:shd w:val="clear" w:color="auto" w:fill="0072B2"/>
          </w:tcPr>
          <w:p>
            <w:r/>
            <w:r>
              <w:rPr>
                <w:b/>
                <w:color w:val="FFFFFF"/>
                <w:sz w:val="19"/>
              </w:rPr>
              <w:t>Keys</w:t>
            </w:r>
          </w:p>
        </w:tc>
        <w:tc>
          <w:tcPr>
            <w:tcW w:type="dxa" w:w="6803"/>
            <w:shd w:val="clear" w:color="auto" w:fill="0072B2"/>
          </w:tcPr>
          <w:p>
            <w:r/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Ctrl+K or Ctrl+P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9"/>
              </w:rPr>
              <w:t>Command palette — every action, searchable</w:t>
            </w:r>
          </w:p>
        </w:tc>
      </w:tr>
      <w:tr>
        <w:tc>
          <w:tcPr>
            <w:tcW w:type="dxa" w:w="2494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Ctrl+Z / Ctrl+Y</w:t>
            </w:r>
          </w:p>
        </w:tc>
        <w:tc>
          <w:tcPr>
            <w:tcW w:type="dxa" w:w="6803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Undo / redo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Ctrl+1 … Ctrl+9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9"/>
              </w:rPr>
              <w:t>Jump to a page</w:t>
            </w:r>
          </w:p>
        </w:tc>
      </w:tr>
      <w:tr>
        <w:tc>
          <w:tcPr>
            <w:tcW w:type="dxa" w:w="2494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Ctrl+O</w:t>
            </w:r>
          </w:p>
        </w:tc>
        <w:tc>
          <w:tcPr>
            <w:tcW w:type="dxa" w:w="6803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Import data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Ctrl+D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9"/>
              </w:rPr>
              <w:t>Load the demo datasets</w:t>
            </w:r>
          </w:p>
        </w:tc>
      </w:tr>
      <w:tr>
        <w:tc>
          <w:tcPr>
            <w:tcW w:type="dxa" w:w="2494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Ctrl+S</w:t>
            </w:r>
          </w:p>
        </w:tc>
        <w:tc>
          <w:tcPr>
            <w:tcW w:type="dxa" w:w="6803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Save session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Ctrl+E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9"/>
              </w:rPr>
              <w:t>Export to Excel</w:t>
            </w:r>
          </w:p>
        </w:tc>
      </w:tr>
      <w:tr>
        <w:tc>
          <w:tcPr>
            <w:tcW w:type="dxa" w:w="2494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Ctrl+R</w:t>
            </w:r>
          </w:p>
        </w:tc>
        <w:tc>
          <w:tcPr>
            <w:tcW w:type="dxa" w:w="6803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Export to Origin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Ctrl+T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9"/>
              </w:rPr>
              <w:t>Toggle light / dark</w:t>
            </w:r>
          </w:p>
        </w:tc>
      </w:tr>
    </w:tbl>
    <w:p>
      <w:pPr>
        <w:spacing w:after="40"/>
      </w:pPr>
    </w:p>
    <w:p>
      <w:pPr>
        <w:pStyle w:val="Heading1"/>
      </w:pPr>
      <w:r>
        <w:t>13. If something goes wrong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  <w:shd w:val="clear" w:color="auto" w:fill="0072B2"/>
          </w:tcPr>
          <w:p>
            <w:r/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6690"/>
            <w:shd w:val="clear" w:color="auto" w:fill="0072B2"/>
          </w:tcPr>
          <w:p>
            <w:r/>
            <w:r>
              <w:rPr>
                <w:b/>
                <w:color w:val="FFFFFF"/>
                <w:sz w:val="19"/>
              </w:rPr>
              <w:t>What to do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9"/>
              </w:rPr>
              <w:t>“no columns matched”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sz w:val="19"/>
              </w:rPr>
              <w:t>The headers don't look like anything the measurement expects. Set the mapping by hand in the drop-downs — matching is a convenience, not a requirement.</w:t>
            </w:r>
          </w:p>
        </w:tc>
      </w:tr>
      <w:tr>
        <w:tc>
          <w:tcPr>
            <w:tcW w:type="dxa" w:w="2608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A number looks wrong</w:t>
            </w:r>
          </w:p>
        </w:tc>
        <w:tc>
          <w:tcPr>
            <w:tcW w:type="dxa" w:w="6690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Open the Graph tab: most surprises are visible (a modulus fitted over the wrong window, a DSC peak running into its neighbour). The Settings tab usually has the option that fixes it.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9"/>
              </w:rPr>
              <w:t>Origin export failed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sz w:val="19"/>
              </w:rPr>
              <w:t xml:space="preserve">Check Settings › Environment. If Origin is unavailable, use the LabTalk package. If it is available, tick </w:t>
            </w:r>
            <w:r>
              <w:rPr>
                <w:b/>
                <w:sz w:val="19"/>
              </w:rPr>
              <w:t>Show Origin while it works</w:t>
            </w:r>
            <w:r>
              <w:rPr>
                <w:sz w:val="19"/>
              </w:rPr>
              <w:t xml:space="preserve"> and run again to watch where it stops.</w:t>
            </w:r>
          </w:p>
        </w:tc>
      </w:tr>
      <w:tr>
        <w:tc>
          <w:tcPr>
            <w:tcW w:type="dxa" w:w="2608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DSC glass transition looks wrong</w:t>
            </w:r>
          </w:p>
        </w:tc>
        <w:tc>
          <w:tcPr>
            <w:tcW w:type="dxa" w:w="6690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It is an estimate from the steepest baseline step below the first peak; a Tg buried under a large melt cannot be found this way — read it off the graph.</w:t>
            </w:r>
          </w:p>
        </w:tc>
      </w:tr>
    </w:tbl>
    <w:p>
      <w:pPr>
        <w:spacing w:after="40"/>
      </w:pPr>
    </w:p>
    <w:p>
      <w:pPr>
        <w:pStyle w:val="Heading1"/>
      </w:pPr>
      <w:r>
        <w:t>14. About</w:t>
      </w:r>
    </w:p>
    <w:p>
      <w:r>
        <w:t xml:space="preserve">The </w:t>
      </w:r>
      <w:r>
        <w:rPr>
          <w:b/>
        </w:rPr>
        <w:t>About</w:t>
      </w:r>
      <w:r>
        <w:t xml:space="preserve"> page (also Help › About) shows the author and laboratory, what the program contains, the three papers it implements, and the versions of everything it runs on — useful when reporting a problem.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o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A7280"/>
          <w:sz w:val="18"/>
        </w:rPr>
        <w:t>Figure 8. The About page.</w:t>
      </w:r>
    </w:p>
    <w:sectPr w:rsidR="00FC693F" w:rsidRPr="0006063C" w:rsidSect="00034616">
      <w:footerReference w:type="default" r:id="rId17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A7280"/>
        <w:sz w:val="17"/>
      </w:rPr>
      <w:t xml:space="preserve">AeroLab Studio 1.0.0 — user guide   ·   page </w:t>
    </w:r>
    <w:r>
      <w:rPr>
        <w:color w:val="6A7280"/>
        <w:sz w:val="17"/>
      </w:rPr>
      <w:fldChar w:fldCharType="begin"/>
    </w:r>
    <w:r>
      <w:rPr>
        <w:color w:val="6A7280"/>
        <w:sz w:val="17"/>
      </w:rPr>
      <w:instrText xml:space="preserve">PAGE</w:instrText>
    </w:r>
    <w:r>
      <w:rPr>
        <w:color w:val="6A7280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 w:cs="Calibri"/>
      <w:color w:val="1B1F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 w:eastAsia="Calibri" w:cs="Calibri"/>
      <w:b/>
      <w:bCs/>
      <w:i w:val="0"/>
      <w:color w:val="0072B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="Calibri" w:hAnsi="Calibri" w:eastAsia="Calibri" w:cs="Calibri"/>
      <w:b/>
      <w:bCs/>
      <w:i w:val="0"/>
      <w:color w:val="0072B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="Calibri" w:hAnsi="Calibri" w:eastAsia="Calibri" w:cs="Calibri"/>
      <w:b/>
      <w:bCs/>
      <w:i w:val="0"/>
      <w:color w:val="1B1F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