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drawing>
          <wp:inline xmlns:a="http://schemas.openxmlformats.org/drawingml/2006/main" xmlns:pic="http://schemas.openxmlformats.org/drawingml/2006/picture">
            <wp:extent cx="1980000" cy="1191155"/>
            <wp:docPr id="1" name="Picture 1"/>
            <wp:cNvGraphicFramePr>
              <a:graphicFrameLocks noChangeAspect="1"/>
            </wp:cNvGraphicFramePr>
            <a:graphic>
              <a:graphicData uri="http://schemas.openxmlformats.org/drawingml/2006/picture">
                <pic:pic>
                  <pic:nvPicPr>
                    <pic:cNvPr id="0" name="eml_logo.png"/>
                    <pic:cNvPicPr/>
                  </pic:nvPicPr>
                  <pic:blipFill>
                    <a:blip r:embed="rId9"/>
                    <a:stretch>
                      <a:fillRect/>
                    </a:stretch>
                  </pic:blipFill>
                  <pic:spPr>
                    <a:xfrm>
                      <a:off x="0" y="0"/>
                      <a:ext cx="1980000" cy="1191155"/>
                    </a:xfrm>
                    <a:prstGeom prst="rect"/>
                  </pic:spPr>
                </pic:pic>
              </a:graphicData>
            </a:graphic>
          </wp:inline>
        </w:drawing>
      </w:r>
    </w:p>
    <w:p/>
    <w:p>
      <w:r>
        <w:rPr>
          <w:b/>
          <w:color w:val="0072B2"/>
          <w:sz w:val="60"/>
        </w:rPr>
        <w:t>FTIR &amp; XRD Analysis Toolkit</w:t>
      </w:r>
    </w:p>
    <w:p>
      <w:r>
        <w:rPr>
          <w:color w:val="6A7280"/>
          <w:sz w:val="28"/>
        </w:rPr>
        <w:t>FTIR spectra and X-ray diffraction patterns, analysed and exported</w:t>
      </w:r>
    </w:p>
    <w:p/>
    <w:p>
      <w:r>
        <w:rPr>
          <w:b/>
          <w:sz w:val="26"/>
        </w:rPr>
        <w:t>User guide  ·  version 3.0.0</w:t>
      </w:r>
    </w:p>
    <w:p/>
    <w:p/>
    <w:p/>
    <w:p/>
    <w:p/>
    <w:p/>
    <w:p/>
    <w:p/>
    <w:p>
      <w:r>
        <w:rPr>
          <w:color w:val="6A7280"/>
        </w:rPr>
        <w:t xml:space="preserve">Made by </w:t>
      </w:r>
      <w:r>
        <w:rPr>
          <w:b/>
        </w:rPr>
        <w:t>Ezzeldien Yousef</w:t>
      </w:r>
      <w:r>
        <w:t xml:space="preserve">  ·  ezzyousef@aucegypt.edu</w:t>
      </w:r>
    </w:p>
    <w:p>
      <w:pPr>
        <w:spacing w:after="40"/>
      </w:pPr>
      <w:r>
        <w:t>EML — Energy Materials Laboratory</w:t>
      </w:r>
    </w:p>
    <w:p>
      <w:r>
        <w:rPr>
          <w:color w:val="6A7280"/>
        </w:rPr>
        <w:t>September 2026</w:t>
      </w:r>
    </w:p>
    <w:p>
      <w:r>
        <w:br w:type="page"/>
      </w:r>
    </w:p>
    <w:p>
      <w:r>
        <w:rPr>
          <w:b/>
          <w:color w:val="0072B2"/>
          <w:sz w:val="34"/>
        </w:rPr>
        <w:t>Contents</w:t>
      </w:r>
    </w:p>
    <w:p>
      <w:pPr>
        <w:spacing w:after="60"/>
      </w:pPr>
      <w:r>
        <w:rPr>
          <w:b/>
          <w:color w:val="0072B2"/>
        </w:rPr>
        <w:t xml:space="preserve">1.  </w:t>
      </w:r>
      <w:r>
        <w:t>What the toolkit does</w:t>
      </w:r>
    </w:p>
    <w:p>
      <w:pPr>
        <w:spacing w:after="60"/>
      </w:pPr>
      <w:r>
        <w:rPr>
          <w:b/>
          <w:color w:val="0072B2"/>
        </w:rPr>
        <w:t xml:space="preserve">2.  </w:t>
      </w:r>
      <w:r>
        <w:t>Installing and starting</w:t>
      </w:r>
    </w:p>
    <w:p>
      <w:pPr>
        <w:spacing w:after="60"/>
      </w:pPr>
      <w:r>
        <w:rPr>
          <w:b/>
          <w:color w:val="0072B2"/>
        </w:rPr>
        <w:t xml:space="preserve">3.  </w:t>
      </w:r>
      <w:r>
        <w:t>The window</w:t>
      </w:r>
    </w:p>
    <w:p>
      <w:pPr>
        <w:spacing w:after="60"/>
      </w:pPr>
      <w:r>
        <w:rPr>
          <w:b/>
          <w:color w:val="0072B2"/>
        </w:rPr>
        <w:t xml:space="preserve">4.  </w:t>
      </w:r>
      <w:r>
        <w:t>Analysing FTIR spectra</w:t>
      </w:r>
    </w:p>
    <w:p>
      <w:pPr>
        <w:spacing w:after="60"/>
      </w:pPr>
      <w:r>
        <w:rPr>
          <w:b/>
          <w:color w:val="0072B2"/>
        </w:rPr>
        <w:t xml:space="preserve">5.  </w:t>
      </w:r>
      <w:r>
        <w:t>Analysing XRD patterns</w:t>
      </w:r>
    </w:p>
    <w:p>
      <w:pPr>
        <w:spacing w:after="60"/>
      </w:pPr>
      <w:r>
        <w:rPr>
          <w:b/>
          <w:color w:val="0072B2"/>
        </w:rPr>
        <w:t xml:space="preserve">6.  </w:t>
      </w:r>
      <w:r>
        <w:t>Exporting</w:t>
      </w:r>
    </w:p>
    <w:p>
      <w:pPr>
        <w:spacing w:after="60"/>
      </w:pPr>
      <w:r>
        <w:rPr>
          <w:b/>
          <w:color w:val="0072B2"/>
        </w:rPr>
        <w:t xml:space="preserve">7.  </w:t>
      </w:r>
      <w:r>
        <w:t>Sessions, undo and recent files</w:t>
      </w:r>
    </w:p>
    <w:p>
      <w:pPr>
        <w:spacing w:after="60"/>
      </w:pPr>
      <w:r>
        <w:rPr>
          <w:b/>
          <w:color w:val="0072B2"/>
        </w:rPr>
        <w:t xml:space="preserve">8.  </w:t>
      </w:r>
      <w:r>
        <w:t>Reference database and sources</w:t>
      </w:r>
    </w:p>
    <w:p>
      <w:pPr>
        <w:spacing w:after="60"/>
      </w:pPr>
      <w:r>
        <w:rPr>
          <w:b/>
          <w:color w:val="0072B2"/>
        </w:rPr>
        <w:t xml:space="preserve">9.  </w:t>
      </w:r>
      <w:r>
        <w:t>Keyboard shortcuts</w:t>
      </w:r>
    </w:p>
    <w:p>
      <w:pPr>
        <w:spacing w:after="60"/>
      </w:pPr>
      <w:r>
        <w:rPr>
          <w:b/>
          <w:color w:val="0072B2"/>
        </w:rPr>
        <w:t xml:space="preserve">10.  </w:t>
      </w:r>
      <w:r>
        <w:t>Troubleshooting</w:t>
      </w:r>
    </w:p>
    <w:p>
      <w:pPr>
        <w:spacing w:after="60"/>
      </w:pPr>
      <w:r>
        <w:rPr>
          <w:b/>
          <w:color w:val="0072B2"/>
        </w:rPr>
        <w:t xml:space="preserve">11.  </w:t>
      </w:r>
      <w:r>
        <w:t>About</w:t>
      </w:r>
    </w:p>
    <w:p>
      <w:r>
        <w:br w:type="page"/>
      </w:r>
    </w:p>
    <w:p>
      <w:pPr>
        <w:pStyle w:val="Heading1"/>
      </w:pPr>
      <w:r>
        <w:t>1. What the toolkit does</w:t>
      </w:r>
    </w:p>
    <w:p>
      <w:pPr>
        <w:pStyle w:val="ListBullet"/>
        <w:spacing w:after="60"/>
      </w:pPr>
      <w:r>
        <w:rPr>
          <w:b/>
        </w:rPr>
        <w:t>FTIR</w:t>
      </w:r>
      <w:r>
        <w:t xml:space="preserve"> — overlay several spectra; smooth, baseline-correct, ATR-correct, differentiate and normalize; detect peaks (with optional shoulder resolution); screen them against a reference database of 224 materials and 99 functional-group correlations; fit Gaussian, Lorentzian or pseudo-Voigt profiles; calculate %T ↔ absorbance, peak area, FWHM and Beer–Lambert concentration.</w:t>
      </w:r>
    </w:p>
    <w:p>
      <w:pPr>
        <w:pStyle w:val="ListBullet"/>
        <w:spacing w:after="60"/>
      </w:pPr>
      <w:r>
        <w:rPr>
          <w:b/>
        </w:rPr>
        <w:t>XRD</w:t>
      </w:r>
      <w:r>
        <w:t xml:space="preserve"> — read common diffractometer formats; detect peaks; d-spacing (Bragg), Scherrer crystallite size, Williamson–Hall size and strain, % crystallinity, SNIP background subtraction, 2θ/d/Q conversion, a single-peak cubic lattice parameter, and peak fitting.</w:t>
      </w:r>
    </w:p>
    <w:p>
      <w:pPr>
        <w:pStyle w:val="ListBullet"/>
        <w:spacing w:after="60"/>
      </w:pPr>
      <w:r>
        <w:rPr>
          <w:b/>
        </w:rPr>
        <w:t>Exports</w:t>
      </w:r>
      <w:r>
        <w:t xml:space="preserve"> — styled OriginLab graphs, an Excel workbook, PDF reports, CSV files, vector graphs and sessions.</w:t>
      </w:r>
    </w:p>
    <w:tbl>
      <w:tblPr>
        <w:tblW w:type="auto" w:w="0"/>
        <w:jc w:val="center"/>
        <w:tblLook w:firstColumn="1" w:firstRow="1" w:lastColumn="0" w:lastRow="0" w:noHBand="0" w:noVBand="1" w:val="04A0"/>
      </w:tblPr>
      <w:tblGrid>
        <w:gridCol w:w="9746"/>
      </w:tblGrid>
      <w:tr>
        <w:tc>
          <w:tcPr>
            <w:tcW w:type="dxa" w:w="9746"/>
            <w:shd w:val="clear" w:color="auto" w:fill="EAF3FB"/>
          </w:tcPr>
          <w:p>
            <w:pPr>
              <w:spacing w:after="40"/>
            </w:pPr>
            <w:r/>
            <w:r>
              <w:rPr>
                <w:b/>
                <w:color w:val="0072B2"/>
              </w:rPr>
              <w:t xml:space="preserve">Tip   </w:t>
            </w:r>
            <w:r>
              <w:t>Phase identification against XRD reference cards is out of scope: use your diffractometer's search/match software, then bring the pattern here for the quantitative work.</w:t>
            </w:r>
          </w:p>
        </w:tc>
      </w:tr>
    </w:tbl>
    <w:p>
      <w:pPr>
        <w:spacing w:after="40"/>
      </w:pPr>
    </w:p>
    <w:p>
      <w:pPr>
        <w:pStyle w:val="Heading1"/>
      </w:pPr>
      <w:r>
        <w:t>2. Installing and starting</w:t>
      </w:r>
    </w:p>
    <w:p>
      <w:pPr>
        <w:pStyle w:val="Heading2"/>
      </w:pPr>
      <w:r>
        <w:t>Installer (recommended)</w:t>
      </w:r>
    </w:p>
    <w:p>
      <w:pPr>
        <w:spacing w:after="80"/>
        <w:ind w:left="454" w:hanging="340"/>
      </w:pPr>
      <w:r>
        <w:rPr>
          <w:b/>
          <w:color w:val="0072B2"/>
        </w:rPr>
        <w:t xml:space="preserve">1.  </w:t>
      </w:r>
      <w:r>
        <w:t xml:space="preserve">Run </w:t>
      </w:r>
      <w:r>
        <w:rPr>
          <w:rFonts w:ascii="Consolas" w:hAnsi="Consolas"/>
          <w:sz w:val="19"/>
        </w:rPr>
        <w:t>installer\output\FTIR_XRD_ToolkitSetup-3.0.0.exe</w:t>
      </w:r>
      <w:r>
        <w:t xml:space="preserve"> and follow the wizard (it creates a Start-menu shortcut and, if you tick it, a desktop shortcut; it can be removed from Windows Settings › Apps).</w:t>
      </w:r>
    </w:p>
    <w:p>
      <w:pPr>
        <w:spacing w:after="80"/>
        <w:ind w:left="454" w:hanging="340"/>
      </w:pPr>
      <w:r>
        <w:rPr>
          <w:b/>
          <w:color w:val="0072B2"/>
        </w:rPr>
        <w:t xml:space="preserve">2.  </w:t>
      </w:r>
      <w:r>
        <w:t>Start the application from the Start menu. A splash screen shows while it loads.</w:t>
      </w:r>
    </w:p>
    <w:p>
      <w:pPr>
        <w:pStyle w:val="Heading2"/>
      </w:pPr>
      <w:r>
        <w:t>Portable copy (no installation)</w:t>
      </w:r>
    </w:p>
    <w:p>
      <w:r>
        <w:t xml:space="preserve">Unzip </w:t>
      </w:r>
      <w:r>
        <w:rPr>
          <w:rFonts w:ascii="Consolas" w:hAnsi="Consolas"/>
          <w:sz w:val="19"/>
        </w:rPr>
        <w:t>dist\FTIR_XRD_Toolkit-3.0.0-portable.zip</w:t>
      </w:r>
      <w:r>
        <w:t xml:space="preserve"> anywhere and run </w:t>
      </w:r>
      <w:r>
        <w:rPr>
          <w:rFonts w:ascii="Consolas" w:hAnsi="Consolas"/>
          <w:sz w:val="19"/>
        </w:rPr>
        <w:t>FTIR_XRD_Toolkit.exe</w:t>
      </w:r>
      <w:r>
        <w:t xml:space="preserve"> inside the folder. Keep the whole folder together — the exe needs every file next to it.</w:t>
      </w:r>
    </w:p>
    <w:p>
      <w:pPr>
        <w:pStyle w:val="Heading2"/>
      </w:pPr>
      <w:r>
        <w:t>From source (developers)</w:t>
      </w:r>
    </w:p>
    <w:p>
      <w:r>
        <w:t xml:space="preserve">With Python 3.11 or newer: </w:t>
      </w:r>
      <w:r>
        <w:rPr>
          <w:rFonts w:ascii="Consolas" w:hAnsi="Consolas"/>
          <w:sz w:val="19"/>
        </w:rPr>
        <w:t>pip install -r requirements.txt</w:t>
      </w:r>
      <w:r>
        <w:t xml:space="preserve">, then </w:t>
      </w:r>
      <w:r>
        <w:rPr>
          <w:rFonts w:ascii="Consolas" w:hAnsi="Consolas"/>
          <w:sz w:val="19"/>
        </w:rPr>
        <w:t>python main.py</w:t>
      </w:r>
      <w:r>
        <w:t xml:space="preserve">. </w:t>
      </w:r>
      <w:r>
        <w:rPr>
          <w:rFonts w:ascii="Consolas" w:hAnsi="Consolas"/>
          <w:sz w:val="19"/>
        </w:rPr>
        <w:t>python main.py spectrum.csv pattern.xrdml</w:t>
      </w:r>
      <w:r>
        <w:t xml:space="preserve"> starts and opens those files on the right pages.</w:t>
      </w:r>
    </w:p>
    <w:tbl>
      <w:tblPr>
        <w:tblW w:type="auto" w:w="0"/>
        <w:jc w:val="center"/>
        <w:tblLook w:firstColumn="1" w:firstRow="1" w:lastColumn="0" w:lastRow="0" w:noHBand="0" w:noVBand="1" w:val="04A0"/>
      </w:tblPr>
      <w:tblGrid>
        <w:gridCol w:w="9746"/>
      </w:tblGrid>
      <w:tr>
        <w:tc>
          <w:tcPr>
            <w:tcW w:type="dxa" w:w="9746"/>
            <w:shd w:val="clear" w:color="auto" w:fill="EAF3FB"/>
          </w:tcPr>
          <w:p>
            <w:pPr>
              <w:spacing w:after="40"/>
            </w:pPr>
            <w:r/>
            <w:r>
              <w:rPr>
                <w:b/>
                <w:color w:val="0072B2"/>
              </w:rPr>
              <w:t xml:space="preserve">Tip   </w:t>
            </w:r>
            <w:r>
              <w:rPr>
                <w:rFonts w:ascii="Consolas" w:hAnsi="Consolas"/>
                <w:sz w:val="19"/>
              </w:rPr>
              <w:t>python main.py --selftest</w:t>
            </w:r>
            <w:r>
              <w:t xml:space="preserve"> (or the exe with </w:t>
            </w:r>
            <w:r>
              <w:rPr>
                <w:rFonts w:ascii="Consolas" w:hAnsi="Consolas"/>
                <w:sz w:val="19"/>
              </w:rPr>
              <w:t>--selftest</w:t>
            </w:r>
            <w:r>
              <w:t xml:space="preserve">) exercises the whole application without opening a window and prints PASSED or FAILED — useful after installing on a new PC. </w:t>
            </w:r>
            <w:r>
              <w:rPr>
                <w:rFonts w:ascii="Consolas" w:hAnsi="Consolas"/>
                <w:sz w:val="19"/>
              </w:rPr>
              <w:t>--version</w:t>
            </w:r>
            <w:r>
              <w:t xml:space="preserve"> prints the version.</w:t>
            </w:r>
          </w:p>
        </w:tc>
      </w:tr>
    </w:tbl>
    <w:p>
      <w:pPr>
        <w:spacing w:after="40"/>
      </w:pPr>
    </w:p>
    <w:p>
      <w:pPr>
        <w:pStyle w:val="Heading1"/>
      </w:pPr>
      <w:r>
        <w:t>3. The window</w:t>
      </w:r>
    </w:p>
    <w:p>
      <w:r>
        <w:t xml:space="preserve">Every page is one click away on the dark </w:t>
      </w:r>
      <w:r>
        <w:rPr>
          <w:b/>
        </w:rPr>
        <w:t>navigation rail</w:t>
      </w:r>
      <w:r>
        <w:t xml:space="preserve"> on the left, grouped as follows:</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0072B2"/>
          </w:tcPr>
          <w:p>
            <w:r/>
            <w:r>
              <w:rPr>
                <w:b/>
                <w:color w:val="FFFFFF"/>
                <w:sz w:val="19"/>
              </w:rPr>
              <w:t>Rail group</w:t>
            </w:r>
          </w:p>
        </w:tc>
        <w:tc>
          <w:tcPr>
            <w:tcW w:type="dxa" w:w="7257"/>
            <w:shd w:val="clear" w:color="auto" w:fill="0072B2"/>
          </w:tcPr>
          <w:p>
            <w:r/>
            <w:r>
              <w:rPr>
                <w:b/>
                <w:color w:val="FFFFFF"/>
                <w:sz w:val="19"/>
              </w:rPr>
              <w:t>Pages</w:t>
            </w:r>
          </w:p>
        </w:tc>
      </w:tr>
      <w:tr>
        <w:tc>
          <w:tcPr>
            <w:tcW w:type="dxa" w:w="2041"/>
          </w:tcPr>
          <w:p>
            <w:pPr>
              <w:spacing w:after="20"/>
            </w:pPr>
            <w:r/>
            <w:r>
              <w:rPr>
                <w:sz w:val="19"/>
              </w:rPr>
              <w:t>Analyse</w:t>
            </w:r>
          </w:p>
        </w:tc>
        <w:tc>
          <w:tcPr>
            <w:tcW w:type="dxa" w:w="7257"/>
          </w:tcPr>
          <w:p>
            <w:pPr>
              <w:spacing w:after="20"/>
            </w:pPr>
            <w:r/>
            <w:r>
              <w:rPr>
                <w:sz w:val="19"/>
              </w:rPr>
              <w:t>FTIR spectra, XRD patterns</w:t>
            </w:r>
          </w:p>
        </w:tc>
      </w:tr>
      <w:tr>
        <w:tc>
          <w:tcPr>
            <w:tcW w:type="dxa" w:w="2041"/>
            <w:shd w:val="clear" w:color="auto" w:fill="F3F6F9"/>
          </w:tcPr>
          <w:p>
            <w:pPr>
              <w:spacing w:after="20"/>
            </w:pPr>
            <w:r/>
            <w:r>
              <w:rPr>
                <w:sz w:val="19"/>
              </w:rPr>
              <w:t>Library</w:t>
            </w:r>
          </w:p>
        </w:tc>
        <w:tc>
          <w:tcPr>
            <w:tcW w:type="dxa" w:w="7257"/>
            <w:shd w:val="clear" w:color="auto" w:fill="F3F6F9"/>
          </w:tcPr>
          <w:p>
            <w:pPr>
              <w:spacing w:after="20"/>
            </w:pPr>
            <w:r/>
            <w:r>
              <w:rPr>
                <w:sz w:val="19"/>
              </w:rPr>
              <w:t>Reference database, Sources &amp; references</w:t>
            </w:r>
          </w:p>
        </w:tc>
      </w:tr>
      <w:tr>
        <w:tc>
          <w:tcPr>
            <w:tcW w:type="dxa" w:w="2041"/>
          </w:tcPr>
          <w:p>
            <w:pPr>
              <w:spacing w:after="20"/>
            </w:pPr>
            <w:r/>
            <w:r>
              <w:rPr>
                <w:sz w:val="19"/>
              </w:rPr>
              <w:t>Help</w:t>
            </w:r>
          </w:p>
        </w:tc>
        <w:tc>
          <w:tcPr>
            <w:tcW w:type="dxa" w:w="7257"/>
          </w:tcPr>
          <w:p>
            <w:pPr>
              <w:spacing w:after="20"/>
            </w:pPr>
            <w:r/>
            <w:r>
              <w:rPr>
                <w:sz w:val="19"/>
              </w:rPr>
              <w:t>About</w:t>
            </w:r>
          </w:p>
        </w:tc>
      </w:tr>
    </w:tbl>
    <w:p>
      <w:pPr>
        <w:spacing w:after="40"/>
      </w:pPr>
    </w:p>
    <w:p>
      <w:pPr>
        <w:pStyle w:val="ListBullet"/>
        <w:spacing w:after="60"/>
      </w:pPr>
      <w:r>
        <w:rPr>
          <w:b/>
        </w:rPr>
        <w:t>Undo / Redo</w:t>
      </w:r>
      <w:r>
        <w:t xml:space="preserve"> buttons sit at the top of the rail (also </w:t>
      </w:r>
      <w:r>
        <w:rPr>
          <w:b/>
        </w:rPr>
        <w:t>Ctrl+Z / Ctrl+Y</w:t>
      </w:r>
      <w:r>
        <w:t xml:space="preserve"> and the Edit menu). Their tooltips name the action that will be undone.</w:t>
      </w:r>
    </w:p>
    <w:p>
      <w:pPr>
        <w:pStyle w:val="ListBullet"/>
        <w:spacing w:after="60"/>
      </w:pPr>
      <w:r>
        <w:rPr>
          <w:b/>
        </w:rPr>
        <w:t>Status bar</w:t>
      </w:r>
      <w:r>
        <w:t xml:space="preserve"> (bottom): the last action, and on the right a count or the plot coordinates under the mouse.</w:t>
      </w:r>
    </w:p>
    <w:p>
      <w:pPr>
        <w:pStyle w:val="ListBullet"/>
        <w:spacing w:after="60"/>
      </w:pPr>
      <w:r>
        <w:rPr>
          <w:b/>
        </w:rPr>
        <w:t>Notifications</w:t>
      </w:r>
      <w:r>
        <w:t xml:space="preserve"> appear briefly in the bottom-right corner and never block your work; anything that needs a decision opens a dialog instead.</w:t>
      </w:r>
    </w:p>
    <w:p>
      <w:pPr>
        <w:pStyle w:val="ListBullet"/>
        <w:spacing w:after="60"/>
      </w:pPr>
      <w:r>
        <w:rPr>
          <w:b/>
        </w:rPr>
        <w:t>Command palette</w:t>
      </w:r>
      <w:r>
        <w:t xml:space="preserve"> — press </w:t>
      </w:r>
      <w:r>
        <w:rPr>
          <w:b/>
        </w:rPr>
        <w:t>Ctrl+K</w:t>
      </w:r>
      <w:r>
        <w:t xml:space="preserve"> and type part of any action or page name, then Enter.</w:t>
      </w:r>
    </w:p>
    <w:p>
      <w:pPr>
        <w:pStyle w:val="ListBullet"/>
        <w:spacing w:after="60"/>
      </w:pPr>
      <w:r>
        <w:rPr>
          <w:b/>
        </w:rPr>
        <w:t>Light / dark theme</w:t>
      </w:r>
      <w:r>
        <w:t xml:space="preserve"> — </w:t>
      </w:r>
      <w:r>
        <w:rPr>
          <w:b/>
        </w:rPr>
        <w:t>Ctrl+T</w:t>
      </w:r>
      <w:r>
        <w:t xml:space="preserve"> or </w:t>
      </w:r>
      <w:r>
        <w:rPr>
          <w:b/>
        </w:rPr>
        <w:t>View › Toggle light / dark theme</w:t>
      </w:r>
      <w:r>
        <w:t>. Plots follow the theme on screen; exported figures are always light.</w:t>
      </w:r>
    </w:p>
    <w:p>
      <w:pPr>
        <w:pStyle w:val="ListBullet"/>
        <w:spacing w:after="60"/>
      </w:pPr>
      <w:r>
        <w:rPr>
          <w:b/>
        </w:rPr>
        <w:t>Ctrl+1 … Ctrl+9</w:t>
      </w:r>
      <w:r>
        <w:t xml:space="preserve"> jump straight to the pages in rail order.</w:t>
      </w:r>
    </w:p>
    <w:p>
      <w:r>
        <w:t xml:space="preserve">Menus: </w:t>
      </w:r>
      <w:r>
        <w:rPr>
          <w:b/>
        </w:rPr>
        <w:t>File</w:t>
      </w:r>
      <w:r>
        <w:t xml:space="preserve"> (open files, </w:t>
      </w:r>
      <w:r>
        <w:rPr>
          <w:b/>
        </w:rPr>
        <w:t>Open recent</w:t>
      </w:r>
      <w:r>
        <w:t xml:space="preserve">, sessions and every export), </w:t>
      </w:r>
      <w:r>
        <w:rPr>
          <w:b/>
        </w:rPr>
        <w:t>Tools</w:t>
      </w:r>
      <w:r>
        <w:t xml:space="preserve"> (FTIR reference database, sources), </w:t>
      </w:r>
      <w:r>
        <w:rPr>
          <w:b/>
        </w:rPr>
        <w:t>Edit</w:t>
      </w:r>
      <w:r>
        <w:t xml:space="preserve"> (undo, redo) and </w:t>
      </w:r>
      <w:r>
        <w:rPr>
          <w:b/>
        </w:rPr>
        <w:t>View</w:t>
      </w:r>
      <w:r>
        <w:t>. While the mouse is over a plot, the status bar shows its x and y.</w:t>
      </w:r>
    </w:p>
    <w:p>
      <w:pPr>
        <w:pStyle w:val="Heading2"/>
      </w:pPr>
      <w:r>
        <w:t>Layout of the FTIR and XRD pages</w:t>
      </w:r>
    </w:p>
    <w:p>
      <w:pPr>
        <w:pStyle w:val="ListBullet"/>
        <w:spacing w:after="60"/>
      </w:pPr>
      <w:r>
        <w:rPr>
          <w:b/>
        </w:rPr>
        <w:t>Left</w:t>
      </w:r>
      <w:r>
        <w:t xml:space="preserve"> — the controls, in cards from top to bottom in the order you use them. The ⓘ button beside a tool shows its equation and literature source.</w:t>
      </w:r>
    </w:p>
    <w:p>
      <w:pPr>
        <w:pStyle w:val="ListBullet"/>
        <w:spacing w:after="60"/>
      </w:pPr>
      <w:r>
        <w:rPr>
          <w:b/>
        </w:rPr>
        <w:t>Loaded traces</w:t>
      </w:r>
      <w:r>
        <w:t xml:space="preserve"> (top card) — </w:t>
      </w:r>
      <w:r>
        <w:rPr>
          <w:b/>
        </w:rPr>
        <w:t>Load spectra… / Load patterns…</w:t>
      </w:r>
      <w:r>
        <w:t xml:space="preserve"> (</w:t>
      </w:r>
      <w:r>
        <w:rPr>
          <w:b/>
        </w:rPr>
        <w:t>Ctrl+O</w:t>
      </w:r>
      <w:r>
        <w:t xml:space="preserve">), or drop one or more files anywhere on the page. Click a row to make that trace </w:t>
      </w:r>
      <w:r>
        <w:rPr>
          <w:b/>
        </w:rPr>
        <w:t>active</w:t>
      </w:r>
      <w:r>
        <w:t xml:space="preserve"> (the one every tool works on); untick </w:t>
      </w:r>
      <w:r>
        <w:rPr>
          <w:b/>
        </w:rPr>
        <w:t>Show</w:t>
      </w:r>
      <w:r>
        <w:t xml:space="preserve"> to hide a trace; </w:t>
      </w:r>
      <w:r>
        <w:rPr>
          <w:b/>
        </w:rPr>
        <w:t>Remove</w:t>
      </w:r>
      <w:r>
        <w:t xml:space="preserve"> and </w:t>
      </w:r>
      <w:r>
        <w:rPr>
          <w:b/>
        </w:rPr>
        <w:t>Clear all</w:t>
      </w:r>
      <w:r>
        <w:t>.</w:t>
      </w:r>
    </w:p>
    <w:p>
      <w:pPr>
        <w:pStyle w:val="ListBullet"/>
        <w:spacing w:after="60"/>
      </w:pPr>
      <w:r>
        <w:rPr>
          <w:b/>
        </w:rPr>
        <w:t>Right</w:t>
      </w:r>
      <w:r>
        <w:t xml:space="preserve"> — the plot (toolbar: zoom, pan, save) with </w:t>
      </w:r>
      <w:r>
        <w:rPr>
          <w:b/>
        </w:rPr>
        <w:t>Send to Origin</w:t>
      </w:r>
      <w:r>
        <w:t xml:space="preserve">, </w:t>
      </w:r>
      <w:r>
        <w:rPr>
          <w:b/>
        </w:rPr>
        <w:t>Export to Excel…</w:t>
      </w:r>
      <w:r>
        <w:t xml:space="preserve"> and </w:t>
      </w:r>
      <w:r>
        <w:rPr>
          <w:b/>
        </w:rPr>
        <w:t>Save figures…</w:t>
      </w:r>
      <w:r>
        <w:t xml:space="preserve"> beneath it, and the results tabs at the bottom. Drag the dividers to resize.</w:t>
      </w:r>
    </w:p>
    <w:p>
      <w:pPr>
        <w:pStyle w:val="ListBullet"/>
        <w:spacing w:after="60"/>
      </w:pPr>
      <w:r>
        <w:t>Matching and fitting run in the background: a progress bar shows, and the window stays usable.</w:t>
      </w:r>
    </w:p>
    <w:p>
      <w:pPr>
        <w:pStyle w:val="Heading1"/>
      </w:pPr>
      <w:r>
        <w:t>4. Analysing FTIR spectra</w:t>
      </w:r>
    </w:p>
    <w:p>
      <w:pPr>
        <w:spacing w:after="80"/>
        <w:ind w:left="454" w:hanging="340"/>
      </w:pPr>
      <w:r>
        <w:rPr>
          <w:b/>
          <w:color w:val="0072B2"/>
        </w:rPr>
        <w:t xml:space="preserve">1.  </w:t>
      </w:r>
      <w:r>
        <w:rPr>
          <w:b/>
        </w:rPr>
        <w:t>Load spectra…</w:t>
      </w:r>
      <w:r>
        <w:t xml:space="preserve"> — </w:t>
      </w:r>
      <w:r>
        <w:rPr>
          <w:rFonts w:ascii="Consolas" w:hAnsi="Consolas"/>
          <w:sz w:val="19"/>
        </w:rPr>
        <w:t>.csv .txt .dat .xy .dpt .jdx .dx</w:t>
      </w:r>
      <w:r>
        <w:t xml:space="preserve"> files with wavenumber and intensity. Load several to overlay them.</w:t>
      </w:r>
    </w:p>
    <w:p>
      <w:pPr>
        <w:spacing w:after="80"/>
        <w:ind w:left="454" w:hanging="340"/>
      </w:pPr>
      <w:r>
        <w:rPr>
          <w:b/>
          <w:color w:val="0072B2"/>
        </w:rPr>
        <w:t xml:space="preserve">2.  </w:t>
      </w:r>
      <w:r>
        <w:rPr>
          <w:b/>
        </w:rPr>
        <w:t>Mode &amp; peak detection</w:t>
      </w:r>
      <w:r>
        <w:t xml:space="preserve"> — choose </w:t>
      </w:r>
      <w:r>
        <w:rPr>
          <w:b/>
        </w:rPr>
        <w:t>Absorbance (peaks up)</w:t>
      </w:r>
      <w:r>
        <w:t xml:space="preserve"> or </w:t>
      </w:r>
      <w:r>
        <w:rPr>
          <w:b/>
        </w:rPr>
        <w:t>%Transmittance (peaks down)</w:t>
      </w:r>
      <w:r>
        <w:t xml:space="preserve">, set </w:t>
      </w:r>
      <w:r>
        <w:rPr>
          <w:b/>
        </w:rPr>
        <w:t>Peak sensitivity (prominence)</w:t>
      </w:r>
      <w:r>
        <w:t xml:space="preserve"> and click </w:t>
      </w:r>
      <w:r>
        <w:rPr>
          <w:b/>
        </w:rPr>
        <w:t>Detect peaks</w:t>
      </w:r>
      <w:r>
        <w:t xml:space="preserve">. Tick </w:t>
      </w:r>
      <w:r>
        <w:rPr>
          <w:b/>
        </w:rPr>
        <w:t>Resolve shoulder bands (2nd derivative)</w:t>
      </w:r>
      <w:r>
        <w:t xml:space="preserve"> for overlapping bands.</w:t>
      </w:r>
    </w:p>
    <w:p>
      <w:pPr>
        <w:spacing w:after="80"/>
        <w:ind w:left="454" w:hanging="340"/>
      </w:pPr>
      <w:r>
        <w:rPr>
          <w:b/>
          <w:color w:val="0072B2"/>
        </w:rPr>
        <w:t xml:space="preserve">3.  </w:t>
      </w:r>
      <w:r>
        <w:rPr>
          <w:b/>
        </w:rPr>
        <w:t>Processing</w:t>
      </w:r>
      <w:r>
        <w:t xml:space="preserve"> — </w:t>
      </w:r>
      <w:r>
        <w:rPr>
          <w:b/>
        </w:rPr>
        <w:t>Smooth (Savitzky–Golay)…</w:t>
      </w:r>
      <w:r>
        <w:t xml:space="preserve">, </w:t>
      </w:r>
      <w:r>
        <w:rPr>
          <w:b/>
        </w:rPr>
        <w:t>Baseline correct (linear)</w:t>
      </w:r>
      <w:r>
        <w:t xml:space="preserve">, </w:t>
      </w:r>
      <w:r>
        <w:rPr>
          <w:b/>
        </w:rPr>
        <w:t>ATR correction…</w:t>
      </w:r>
      <w:r>
        <w:t xml:space="preserve">, </w:t>
      </w:r>
      <w:r>
        <w:rPr>
          <w:b/>
        </w:rPr>
        <w:t>1st / 2nd derivative…</w:t>
      </w:r>
      <w:r>
        <w:t xml:space="preserve">, </w:t>
      </w:r>
      <w:r>
        <w:rPr>
          <w:b/>
        </w:rPr>
        <w:t>Apply normalization</w:t>
      </w:r>
      <w:r>
        <w:t xml:space="preserve"> (max, minmax, area or vector); </w:t>
      </w:r>
      <w:r>
        <w:rPr>
          <w:b/>
        </w:rPr>
        <w:t>Revert to raw data</w:t>
      </w:r>
      <w:r>
        <w:t xml:space="preserve"> undoes all processing of the active trace. Detect peaks again after processing.</w:t>
      </w:r>
    </w:p>
    <w:p>
      <w:pPr>
        <w:spacing w:after="80"/>
        <w:ind w:left="454" w:hanging="340"/>
      </w:pPr>
      <w:r>
        <w:rPr>
          <w:b/>
          <w:color w:val="0072B2"/>
        </w:rPr>
        <w:t xml:space="preserve">4.  </w:t>
      </w:r>
      <w:r>
        <w:rPr>
          <w:b/>
        </w:rPr>
        <w:t>Database identification</w:t>
      </w:r>
      <w:r>
        <w:t xml:space="preserve"> — set the </w:t>
      </w:r>
      <w:r>
        <w:rPr>
          <w:b/>
        </w:rPr>
        <w:t>Tolerance (±)</w:t>
      </w:r>
      <w:r>
        <w:t xml:space="preserve"> and, if you know roughly what the sample is, </w:t>
      </w:r>
      <w:r>
        <w:rPr>
          <w:b/>
        </w:rPr>
        <w:t>Restrict search to a category</w:t>
      </w:r>
      <w:r>
        <w:t xml:space="preserve">; click </w:t>
      </w:r>
      <w:r>
        <w:rPr>
          <w:b/>
        </w:rPr>
        <w:t>Match to database</w:t>
      </w:r>
      <w:r>
        <w:t>.</w:t>
      </w:r>
    </w:p>
    <w:p>
      <w:pPr>
        <w:spacing w:after="80"/>
        <w:ind w:left="454" w:hanging="340"/>
      </w:pPr>
      <w:r>
        <w:rPr>
          <w:b/>
          <w:color w:val="0072B2"/>
        </w:rPr>
        <w:t xml:space="preserve">5.  </w:t>
      </w:r>
      <w:r>
        <w:rPr>
          <w:b/>
        </w:rPr>
        <w:t>Peak fitting</w:t>
      </w:r>
      <w:r>
        <w:t xml:space="preserve"> — choose the </w:t>
      </w:r>
      <w:r>
        <w:rPr>
          <w:b/>
        </w:rPr>
        <w:t>Peak shape</w:t>
      </w:r>
      <w:r>
        <w:t xml:space="preserve"> and </w:t>
      </w:r>
      <w:r>
        <w:rPr>
          <w:b/>
        </w:rPr>
        <w:t>Fit window (±)</w:t>
      </w:r>
      <w:r>
        <w:t xml:space="preserve"> and click </w:t>
      </w:r>
      <w:r>
        <w:rPr>
          <w:b/>
        </w:rPr>
        <w:t>Fit all detected peaks</w:t>
      </w:r>
      <w:r>
        <w:t>. The fitted peaks are drawn as one dashed model line in the spectrum's colour.</w:t>
      </w:r>
    </w:p>
    <w:p>
      <w:pPr>
        <w:spacing w:after="80"/>
        <w:ind w:left="454" w:hanging="340"/>
      </w:pPr>
      <w:r>
        <w:rPr>
          <w:b/>
          <w:color w:val="0072B2"/>
        </w:rPr>
        <w:t xml:space="preserve">6.  </w:t>
      </w:r>
      <w:r>
        <w:rPr>
          <w:b/>
        </w:rPr>
        <w:t>Calculations</w:t>
      </w:r>
      <w:r>
        <w:t xml:space="preserve"> — %T ↔ absorbance, peak area over a range, FWHM of the nearest peak, Beer–Lambert concentration.</w:t>
      </w:r>
    </w:p>
    <w:p>
      <w:pPr>
        <w:pStyle w:val="Heading2"/>
      </w:pPr>
      <w:r>
        <w:t>Results tabs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72B2"/>
          </w:tcPr>
          <w:p>
            <w:r/>
            <w:r>
              <w:rPr>
                <w:b/>
                <w:color w:val="FFFFFF"/>
                <w:sz w:val="19"/>
              </w:rPr>
              <w:t>Tab</w:t>
            </w:r>
          </w:p>
        </w:tc>
        <w:tc>
          <w:tcPr>
            <w:tcW w:type="dxa" w:w="7030"/>
            <w:shd w:val="clear" w:color="auto" w:fill="0072B2"/>
          </w:tcPr>
          <w:p>
            <w:r/>
            <w:r>
              <w:rPr>
                <w:b/>
                <w:color w:val="FFFFFF"/>
                <w:sz w:val="19"/>
              </w:rPr>
              <w:t>Contents</w:t>
            </w:r>
          </w:p>
        </w:tc>
      </w:tr>
      <w:tr>
        <w:tc>
          <w:tcPr>
            <w:tcW w:type="dxa" w:w="2268"/>
          </w:tcPr>
          <w:p>
            <w:pPr>
              <w:spacing w:after="20"/>
            </w:pPr>
            <w:r/>
            <w:r>
              <w:rPr>
                <w:b/>
                <w:sz w:val="19"/>
              </w:rPr>
              <w:t>Peaks</w:t>
            </w:r>
          </w:p>
        </w:tc>
        <w:tc>
          <w:tcPr>
            <w:tcW w:type="dxa" w:w="7030"/>
          </w:tcPr>
          <w:p>
            <w:pPr>
              <w:spacing w:after="20"/>
            </w:pPr>
            <w:r/>
            <w:r>
              <w:rPr>
                <w:sz w:val="19"/>
              </w:rPr>
              <w:t>Position, intensity and prominence of every detected peak.</w:t>
            </w:r>
          </w:p>
        </w:tc>
      </w:tr>
      <w:tr>
        <w:tc>
          <w:tcPr>
            <w:tcW w:type="dxa" w:w="2268"/>
            <w:shd w:val="clear" w:color="auto" w:fill="F3F6F9"/>
          </w:tcPr>
          <w:p>
            <w:pPr>
              <w:spacing w:after="20"/>
            </w:pPr>
            <w:r/>
            <w:r>
              <w:rPr>
                <w:b/>
                <w:sz w:val="19"/>
              </w:rPr>
              <w:t>Database matches</w:t>
            </w:r>
          </w:p>
        </w:tc>
        <w:tc>
          <w:tcPr>
            <w:tcW w:type="dxa" w:w="7030"/>
            <w:shd w:val="clear" w:color="auto" w:fill="F3F6F9"/>
          </w:tcPr>
          <w:p>
            <w:pPr>
              <w:spacing w:after="20"/>
            </w:pPr>
            <w:r/>
            <w:r>
              <w:rPr>
                <w:sz w:val="19"/>
              </w:rPr>
              <w:t xml:space="preserve">Candidate materials ranked by corroborating peaks and coverage. Click a row to overlay its reference bands on the plot (orange) and list every band as MATCHED or not found; </w:t>
            </w:r>
            <w:r>
              <w:rPr>
                <w:b/>
                <w:sz w:val="19"/>
              </w:rPr>
              <w:t>Export reference peaks (CSV)…</w:t>
            </w:r>
            <w:r>
              <w:rPr>
                <w:sz w:val="19"/>
              </w:rPr>
              <w:t xml:space="preserve"> and </w:t>
            </w:r>
            <w:r>
              <w:rPr>
                <w:b/>
                <w:sz w:val="19"/>
              </w:rPr>
              <w:t>Clear overlay</w:t>
            </w:r>
            <w:r>
              <w:rPr>
                <w:sz w:val="19"/>
              </w:rPr>
              <w:t>.</w:t>
            </w:r>
          </w:p>
        </w:tc>
      </w:tr>
      <w:tr>
        <w:tc>
          <w:tcPr>
            <w:tcW w:type="dxa" w:w="2268"/>
          </w:tcPr>
          <w:p>
            <w:pPr>
              <w:spacing w:after="20"/>
            </w:pPr>
            <w:r/>
            <w:r>
              <w:rPr>
                <w:b/>
                <w:sz w:val="19"/>
              </w:rPr>
              <w:t>Functional groups</w:t>
            </w:r>
          </w:p>
        </w:tc>
        <w:tc>
          <w:tcPr>
            <w:tcW w:type="dxa" w:w="7030"/>
          </w:tcPr>
          <w:p>
            <w:pPr>
              <w:spacing w:after="20"/>
            </w:pPr>
            <w:r/>
            <w:r>
              <w:rPr>
                <w:sz w:val="19"/>
              </w:rPr>
              <w:t>Each peak's functional-group assignments with the expected range and source.</w:t>
            </w:r>
          </w:p>
        </w:tc>
      </w:tr>
      <w:tr>
        <w:tc>
          <w:tcPr>
            <w:tcW w:type="dxa" w:w="2268"/>
            <w:shd w:val="clear" w:color="auto" w:fill="F3F6F9"/>
          </w:tcPr>
          <w:p>
            <w:pPr>
              <w:spacing w:after="20"/>
            </w:pPr>
            <w:r/>
            <w:r>
              <w:rPr>
                <w:b/>
                <w:sz w:val="19"/>
              </w:rPr>
              <w:t>Peak fits</w:t>
            </w:r>
          </w:p>
        </w:tc>
        <w:tc>
          <w:tcPr>
            <w:tcW w:type="dxa" w:w="7030"/>
            <w:shd w:val="clear" w:color="auto" w:fill="F3F6F9"/>
          </w:tcPr>
          <w:p>
            <w:pPr>
              <w:spacing w:after="20"/>
            </w:pPr>
            <w:r/>
            <w:r>
              <w:rPr>
                <w:sz w:val="19"/>
              </w:rPr>
              <w:t>Seed, fitted centre, FWHM, height, area and R² of each fitted peak.</w:t>
            </w:r>
          </w:p>
        </w:tc>
      </w:tr>
    </w:tbl>
    <w:p>
      <w:pPr>
        <w:spacing w:after="40"/>
      </w:pPr>
    </w:p>
    <w:p>
      <w:pPr>
        <w:keepNext/>
        <w:jc w:val="center"/>
      </w:pPr>
      <w:r>
        <w:drawing>
          <wp:inline xmlns:a="http://schemas.openxmlformats.org/drawingml/2006/main" xmlns:pic="http://schemas.openxmlformats.org/drawingml/2006/picture">
            <wp:extent cx="5903999" cy="3689999"/>
            <wp:docPr id="2" name="Picture 2"/>
            <wp:cNvGraphicFramePr>
              <a:graphicFrameLocks noChangeAspect="1"/>
            </wp:cNvGraphicFramePr>
            <a:graphic>
              <a:graphicData uri="http://schemas.openxmlformats.org/drawingml/2006/picture">
                <pic:pic>
                  <pic:nvPicPr>
                    <pic:cNvPr id="0" name="ftir.png"/>
                    <pic:cNvPicPr/>
                  </pic:nvPicPr>
                  <pic:blipFill>
                    <a:blip r:embed="rId10"/>
                    <a:stretch>
                      <a:fillRect/>
                    </a:stretch>
                  </pic:blipFill>
                  <pic:spPr>
                    <a:xfrm>
                      <a:off x="0" y="0"/>
                      <a:ext cx="5903999" cy="3689999"/>
                    </a:xfrm>
                    <a:prstGeom prst="rect"/>
                  </pic:spPr>
                </pic:pic>
              </a:graphicData>
            </a:graphic>
          </wp:inline>
        </w:drawing>
      </w:r>
    </w:p>
    <w:p>
      <w:pPr>
        <w:jc w:val="center"/>
      </w:pPr>
      <w:r>
        <w:rPr>
          <w:i/>
          <w:color w:val="6A7280"/>
          <w:sz w:val="18"/>
        </w:rPr>
        <w:t>Figure 1. An FTIR spectrum with detected peaks, database matches and the reference bands of the selected match.</w:t>
      </w:r>
    </w:p>
    <w:tbl>
      <w:tblPr>
        <w:tblW w:type="auto" w:w="0"/>
        <w:jc w:val="center"/>
        <w:tblLook w:firstColumn="1" w:firstRow="1" w:lastColumn="0" w:lastRow="0" w:noHBand="0" w:noVBand="1" w:val="04A0"/>
      </w:tblPr>
      <w:tblGrid>
        <w:gridCol w:w="9746"/>
      </w:tblGrid>
      <w:tr>
        <w:tc>
          <w:tcPr>
            <w:tcW w:type="dxa" w:w="9746"/>
            <w:shd w:val="clear" w:color="auto" w:fill="FDF3DC"/>
          </w:tcPr>
          <w:p>
            <w:pPr>
              <w:spacing w:after="40"/>
            </w:pPr>
            <w:r/>
            <w:r>
              <w:rPr>
                <w:b/>
                <w:color w:val="9A6400"/>
              </w:rPr>
              <w:t xml:space="preserve">Important   </w:t>
            </w:r>
            <w:r>
              <w:t>Database matching is heuristic screening, not identification. Confirm anything consequential against a certified reference spectrum (for example NIST WebBook or SDBS) or an expert. If many candidates come back, restrict the category and reduce the tolerance.</w:t>
            </w:r>
          </w:p>
        </w:tc>
      </w:tr>
    </w:tbl>
    <w:p>
      <w:pPr>
        <w:spacing w:after="40"/>
      </w:pPr>
    </w:p>
    <w:p>
      <w:pPr>
        <w:pStyle w:val="Heading1"/>
      </w:pPr>
      <w:r>
        <w:t>5. Analysing XRD patterns</w:t>
      </w:r>
    </w:p>
    <w:p>
      <w:pPr>
        <w:spacing w:after="80"/>
        <w:ind w:left="454" w:hanging="340"/>
      </w:pPr>
      <w:r>
        <w:rPr>
          <w:b/>
          <w:color w:val="0072B2"/>
        </w:rPr>
        <w:t xml:space="preserve">1.  </w:t>
      </w:r>
      <w:r>
        <w:rPr>
          <w:b/>
        </w:rPr>
        <w:t>Load patterns…</w:t>
      </w:r>
      <w:r>
        <w:t xml:space="preserve"> — the format is detected from the extension (table below).</w:t>
      </w:r>
    </w:p>
    <w:p>
      <w:pPr>
        <w:spacing w:after="80"/>
        <w:ind w:left="454" w:hanging="340"/>
      </w:pPr>
      <w:r>
        <w:rPr>
          <w:b/>
          <w:color w:val="0072B2"/>
        </w:rPr>
        <w:t xml:space="preserve">2.  </w:t>
      </w:r>
      <w:r>
        <w:rPr>
          <w:b/>
        </w:rPr>
        <w:t>Wavelength &amp; peak detection</w:t>
      </w:r>
      <w:r>
        <w:t xml:space="preserve"> — choose the </w:t>
      </w:r>
      <w:r>
        <w:rPr>
          <w:b/>
        </w:rPr>
        <w:t>X-ray wavelength</w:t>
      </w:r>
      <w:r>
        <w:t xml:space="preserve"> (or </w:t>
      </w:r>
      <w:r>
        <w:rPr>
          <w:i/>
        </w:rPr>
        <w:t>Custom...</w:t>
      </w:r>
      <w:r>
        <w:t xml:space="preserve"> to type one), set the sensitivity and </w:t>
      </w:r>
      <w:r>
        <w:rPr>
          <w:b/>
        </w:rPr>
        <w:t>Detect peaks</w:t>
      </w:r>
      <w:r>
        <w:t xml:space="preserve">. </w:t>
      </w:r>
      <w:r>
        <w:rPr>
          <w:b/>
        </w:rPr>
        <w:t>Smooth (Savitzky–Golay)…</w:t>
      </w:r>
      <w:r>
        <w:t xml:space="preserve"> and </w:t>
      </w:r>
      <w:r>
        <w:rPr>
          <w:b/>
        </w:rPr>
        <w:t>Subtract background (SNIP)</w:t>
      </w:r>
      <w:r>
        <w:t xml:space="preserve"> are here too.</w:t>
      </w:r>
    </w:p>
    <w:p>
      <w:pPr>
        <w:spacing w:after="80"/>
        <w:ind w:left="454" w:hanging="340"/>
      </w:pPr>
      <w:r>
        <w:rPr>
          <w:b/>
          <w:color w:val="0072B2"/>
        </w:rPr>
        <w:t xml:space="preserve">3.  </w:t>
      </w:r>
      <w:r>
        <w:rPr>
          <w:b/>
        </w:rPr>
        <w:t>Calculations</w:t>
      </w:r>
      <w:r>
        <w:t xml:space="preserve"> — </w:t>
      </w:r>
      <w:r>
        <w:rPr>
          <w:b/>
        </w:rPr>
        <w:t>d-spacing + Scherrer size (all peaks)</w:t>
      </w:r>
      <w:r>
        <w:t xml:space="preserve"> fills the Peaks table; </w:t>
      </w:r>
      <w:r>
        <w:rPr>
          <w:b/>
        </w:rPr>
        <w:t>Williamson–Hall (size + strain)</w:t>
      </w:r>
      <w:r>
        <w:t xml:space="preserve"> needs three or more peaks with a resolvable FWHM; </w:t>
      </w:r>
      <w:r>
        <w:rPr>
          <w:b/>
        </w:rPr>
        <w:t>% crystallinity (select regions)…</w:t>
      </w:r>
      <w:r>
        <w:t xml:space="preserve"> asks for crystalline and amorphous 2θ regions written like </w:t>
      </w:r>
      <w:r>
        <w:rPr>
          <w:rFonts w:ascii="Consolas" w:hAnsi="Consolas"/>
          <w:sz w:val="19"/>
        </w:rPr>
        <w:t>18-24,26-28</w:t>
      </w:r>
      <w:r>
        <w:t xml:space="preserve">; </w:t>
      </w:r>
      <w:r>
        <w:rPr>
          <w:b/>
        </w:rPr>
        <w:t>Cubic lattice parameter (single peak)…</w:t>
      </w:r>
      <w:r>
        <w:t xml:space="preserve"> and the </w:t>
      </w:r>
      <w:r>
        <w:rPr>
          <w:b/>
        </w:rPr>
        <w:t>2θ / d-spacing / Q converter…</w:t>
      </w:r>
      <w:r>
        <w:t xml:space="preserve"> use the current wavelength.</w:t>
      </w:r>
    </w:p>
    <w:p>
      <w:pPr>
        <w:spacing w:after="80"/>
        <w:ind w:left="454" w:hanging="340"/>
      </w:pPr>
      <w:r>
        <w:rPr>
          <w:b/>
          <w:color w:val="0072B2"/>
        </w:rPr>
        <w:t xml:space="preserve">4.  </w:t>
      </w:r>
      <w:r>
        <w:rPr>
          <w:b/>
        </w:rPr>
        <w:t>Peak fitting</w:t>
      </w:r>
      <w:r>
        <w:t xml:space="preserve"> — shape and </w:t>
      </w:r>
      <w:r>
        <w:rPr>
          <w:b/>
        </w:rPr>
        <w:t>Fit window (± 2θ)</w:t>
      </w:r>
      <w:r>
        <w:t xml:space="preserve">, then </w:t>
      </w:r>
      <w:r>
        <w:rPr>
          <w:b/>
        </w:rPr>
        <w:t>Fit all detected peaks</w:t>
      </w:r>
      <w:r>
        <w:t>.</w:t>
      </w:r>
    </w:p>
    <w:p>
      <w:r>
        <w:t xml:space="preserve">Results tabs: </w:t>
      </w:r>
      <w:r>
        <w:rPr>
          <w:b/>
        </w:rPr>
        <w:t>Peaks</w:t>
      </w:r>
      <w:r>
        <w:t xml:space="preserve"> (2θ, intensity, FWHM, d-spacing, crystallite size), </w:t>
      </w:r>
      <w:r>
        <w:rPr>
          <w:b/>
        </w:rPr>
        <w:t>Williamson–Hall</w:t>
      </w:r>
      <w:r>
        <w:t xml:space="preserve"> (size, microstrain and the linear fit, with a warning if the strain came out negative) and </w:t>
      </w:r>
      <w:r>
        <w:rPr>
          <w:b/>
        </w:rPr>
        <w:t>Peak fits</w:t>
      </w:r>
      <w:r>
        <w:t>.</w:t>
      </w:r>
    </w:p>
    <w:p>
      <w:pPr>
        <w:keepNext/>
        <w:jc w:val="center"/>
      </w:pPr>
      <w:r>
        <w:drawing>
          <wp:inline xmlns:a="http://schemas.openxmlformats.org/drawingml/2006/main" xmlns:pic="http://schemas.openxmlformats.org/drawingml/2006/picture">
            <wp:extent cx="5903999" cy="3689999"/>
            <wp:docPr id="3" name="Picture 3"/>
            <wp:cNvGraphicFramePr>
              <a:graphicFrameLocks noChangeAspect="1"/>
            </wp:cNvGraphicFramePr>
            <a:graphic>
              <a:graphicData uri="http://schemas.openxmlformats.org/drawingml/2006/picture">
                <pic:pic>
                  <pic:nvPicPr>
                    <pic:cNvPr id="0" name="xrd.png"/>
                    <pic:cNvPicPr/>
                  </pic:nvPicPr>
                  <pic:blipFill>
                    <a:blip r:embed="rId11"/>
                    <a:stretch>
                      <a:fillRect/>
                    </a:stretch>
                  </pic:blipFill>
                  <pic:spPr>
                    <a:xfrm>
                      <a:off x="0" y="0"/>
                      <a:ext cx="5903999" cy="3689999"/>
                    </a:xfrm>
                    <a:prstGeom prst="rect"/>
                  </pic:spPr>
                </pic:pic>
              </a:graphicData>
            </a:graphic>
          </wp:inline>
        </w:drawing>
      </w:r>
    </w:p>
    <w:p>
      <w:pPr>
        <w:jc w:val="center"/>
      </w:pPr>
      <w:r>
        <w:rPr>
          <w:i/>
          <w:color w:val="6A7280"/>
          <w:sz w:val="18"/>
        </w:rPr>
        <w:t>Figure 2. An XRD pattern with d-spacings and Scherrer sizes calculated.</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0072B2"/>
          </w:tcPr>
          <w:p>
            <w:r/>
            <w:r>
              <w:rPr>
                <w:b/>
                <w:color w:val="FFFFFF"/>
                <w:sz w:val="19"/>
              </w:rPr>
              <w:t>Extension</w:t>
            </w:r>
          </w:p>
        </w:tc>
        <w:tc>
          <w:tcPr>
            <w:tcW w:type="dxa" w:w="4082"/>
            <w:shd w:val="clear" w:color="auto" w:fill="0072B2"/>
          </w:tcPr>
          <w:p>
            <w:r/>
            <w:r>
              <w:rPr>
                <w:b/>
                <w:color w:val="FFFFFF"/>
                <w:sz w:val="19"/>
              </w:rPr>
              <w:t>Format</w:t>
            </w:r>
          </w:p>
        </w:tc>
        <w:tc>
          <w:tcPr>
            <w:tcW w:type="dxa" w:w="2835"/>
            <w:shd w:val="clear" w:color="auto" w:fill="0072B2"/>
          </w:tcPr>
          <w:p>
            <w:r/>
            <w:r>
              <w:rPr>
                <w:b/>
                <w:color w:val="FFFFFF"/>
                <w:sz w:val="19"/>
              </w:rPr>
              <w:t>Confidence</w:t>
            </w:r>
          </w:p>
        </w:tc>
      </w:tr>
      <w:tr>
        <w:tc>
          <w:tcPr>
            <w:tcW w:type="dxa" w:w="2381"/>
          </w:tcPr>
          <w:p>
            <w:pPr>
              <w:spacing w:after="20"/>
            </w:pPr>
            <w:r/>
            <w:r>
              <w:rPr>
                <w:rFonts w:ascii="Consolas" w:hAnsi="Consolas"/>
                <w:sz w:val="19"/>
              </w:rPr>
              <w:t>.xy .txt .dat .csv</w:t>
            </w:r>
          </w:p>
        </w:tc>
        <w:tc>
          <w:tcPr>
            <w:tcW w:type="dxa" w:w="4082"/>
          </w:tcPr>
          <w:p>
            <w:pPr>
              <w:spacing w:after="20"/>
            </w:pPr>
            <w:r/>
            <w:r>
              <w:rPr>
                <w:sz w:val="19"/>
              </w:rPr>
              <w:t>Generic two-column ASCII</w:t>
            </w:r>
          </w:p>
        </w:tc>
        <w:tc>
          <w:tcPr>
            <w:tcW w:type="dxa" w:w="2835"/>
          </w:tcPr>
          <w:p>
            <w:pPr>
              <w:spacing w:after="20"/>
            </w:pPr>
            <w:r/>
            <w:r>
              <w:rPr>
                <w:sz w:val="19"/>
              </w:rPr>
              <w:t>high</w:t>
            </w:r>
          </w:p>
        </w:tc>
      </w:tr>
      <w:tr>
        <w:tc>
          <w:tcPr>
            <w:tcW w:type="dxa" w:w="2381"/>
            <w:shd w:val="clear" w:color="auto" w:fill="F3F6F9"/>
          </w:tcPr>
          <w:p>
            <w:pPr>
              <w:spacing w:after="20"/>
            </w:pPr>
            <w:r/>
            <w:r>
              <w:rPr>
                <w:rFonts w:ascii="Consolas" w:hAnsi="Consolas"/>
                <w:sz w:val="19"/>
              </w:rPr>
              <w:t>.uxd</w:t>
            </w:r>
          </w:p>
        </w:tc>
        <w:tc>
          <w:tcPr>
            <w:tcW w:type="dxa" w:w="4082"/>
            <w:shd w:val="clear" w:color="auto" w:fill="F3F6F9"/>
          </w:tcPr>
          <w:p>
            <w:pPr>
              <w:spacing w:after="20"/>
            </w:pPr>
            <w:r/>
            <w:r>
              <w:rPr>
                <w:sz w:val="19"/>
              </w:rPr>
              <w:t>Siemens / Bruker text</w:t>
            </w:r>
          </w:p>
        </w:tc>
        <w:tc>
          <w:tcPr>
            <w:tcW w:type="dxa" w:w="2835"/>
            <w:shd w:val="clear" w:color="auto" w:fill="F3F6F9"/>
          </w:tcPr>
          <w:p>
            <w:pPr>
              <w:spacing w:after="20"/>
            </w:pPr>
            <w:r/>
            <w:r>
              <w:rPr>
                <w:sz w:val="19"/>
              </w:rPr>
              <w:t>high</w:t>
            </w:r>
          </w:p>
        </w:tc>
      </w:tr>
      <w:tr>
        <w:tc>
          <w:tcPr>
            <w:tcW w:type="dxa" w:w="2381"/>
          </w:tcPr>
          <w:p>
            <w:pPr>
              <w:spacing w:after="20"/>
            </w:pPr>
            <w:r/>
            <w:r>
              <w:rPr>
                <w:rFonts w:ascii="Consolas" w:hAnsi="Consolas"/>
                <w:sz w:val="19"/>
              </w:rPr>
              <w:t>.ras</w:t>
            </w:r>
          </w:p>
        </w:tc>
        <w:tc>
          <w:tcPr>
            <w:tcW w:type="dxa" w:w="4082"/>
          </w:tcPr>
          <w:p>
            <w:pPr>
              <w:spacing w:after="20"/>
            </w:pPr>
            <w:r/>
            <w:r>
              <w:rPr>
                <w:sz w:val="19"/>
              </w:rPr>
              <w:t>Rigaku text</w:t>
            </w:r>
          </w:p>
        </w:tc>
        <w:tc>
          <w:tcPr>
            <w:tcW w:type="dxa" w:w="2835"/>
          </w:tcPr>
          <w:p>
            <w:pPr>
              <w:spacing w:after="20"/>
            </w:pPr>
            <w:r/>
            <w:r>
              <w:rPr>
                <w:sz w:val="19"/>
              </w:rPr>
              <w:t>high</w:t>
            </w:r>
          </w:p>
        </w:tc>
      </w:tr>
      <w:tr>
        <w:tc>
          <w:tcPr>
            <w:tcW w:type="dxa" w:w="2381"/>
            <w:shd w:val="clear" w:color="auto" w:fill="F3F6F9"/>
          </w:tcPr>
          <w:p>
            <w:pPr>
              <w:spacing w:after="20"/>
            </w:pPr>
            <w:r/>
            <w:r>
              <w:rPr>
                <w:rFonts w:ascii="Consolas" w:hAnsi="Consolas"/>
                <w:sz w:val="19"/>
              </w:rPr>
              <w:t>.xrdml</w:t>
            </w:r>
          </w:p>
        </w:tc>
        <w:tc>
          <w:tcPr>
            <w:tcW w:type="dxa" w:w="4082"/>
            <w:shd w:val="clear" w:color="auto" w:fill="F3F6F9"/>
          </w:tcPr>
          <w:p>
            <w:pPr>
              <w:spacing w:after="20"/>
            </w:pPr>
            <w:r/>
            <w:r>
              <w:rPr>
                <w:sz w:val="19"/>
              </w:rPr>
              <w:t>PANalytical / Malvern XML</w:t>
            </w:r>
          </w:p>
        </w:tc>
        <w:tc>
          <w:tcPr>
            <w:tcW w:type="dxa" w:w="2835"/>
            <w:shd w:val="clear" w:color="auto" w:fill="F3F6F9"/>
          </w:tcPr>
          <w:p>
            <w:pPr>
              <w:spacing w:after="20"/>
            </w:pPr>
            <w:r/>
            <w:r>
              <w:rPr>
                <w:sz w:val="19"/>
              </w:rPr>
              <w:t>high</w:t>
            </w:r>
          </w:p>
        </w:tc>
      </w:tr>
      <w:tr>
        <w:tc>
          <w:tcPr>
            <w:tcW w:type="dxa" w:w="2381"/>
          </w:tcPr>
          <w:p>
            <w:pPr>
              <w:spacing w:after="20"/>
            </w:pPr>
            <w:r/>
            <w:r>
              <w:rPr>
                <w:rFonts w:ascii="Consolas" w:hAnsi="Consolas"/>
                <w:sz w:val="19"/>
              </w:rPr>
              <w:t>.raw</w:t>
            </w:r>
          </w:p>
        </w:tc>
        <w:tc>
          <w:tcPr>
            <w:tcW w:type="dxa" w:w="4082"/>
          </w:tcPr>
          <w:p>
            <w:pPr>
              <w:spacing w:after="20"/>
            </w:pPr>
            <w:r/>
            <w:r>
              <w:rPr>
                <w:sz w:val="19"/>
              </w:rPr>
              <w:t>Legacy Bruker binary (undocumented format)</w:t>
            </w:r>
          </w:p>
        </w:tc>
        <w:tc>
          <w:tcPr>
            <w:tcW w:type="dxa" w:w="2835"/>
          </w:tcPr>
          <w:p>
            <w:pPr>
              <w:spacing w:after="20"/>
            </w:pPr>
            <w:r/>
            <w:r>
              <w:rPr>
                <w:sz w:val="19"/>
              </w:rPr>
              <w:t>best effort — export ASCII if it fails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DF3DC"/>
          </w:tcPr>
          <w:p>
            <w:pPr>
              <w:spacing w:after="40"/>
            </w:pPr>
            <w:r/>
            <w:r>
              <w:rPr>
                <w:b/>
                <w:color w:val="9A6400"/>
              </w:rPr>
              <w:t xml:space="preserve">Important   </w:t>
            </w:r>
            <w:r>
              <w:t>Scherrer and Williamson–Hall sizes are apparent sizes from peak broadening, not corrected for instrumental broadening. % crystallinity depends on the regions chosen — report them with the number.</w:t>
            </w:r>
          </w:p>
        </w:tc>
      </w:tr>
    </w:tbl>
    <w:p>
      <w:pPr>
        <w:spacing w:after="40"/>
      </w:pPr>
    </w:p>
    <w:p>
      <w:pPr>
        <w:pStyle w:val="Heading1"/>
      </w:pPr>
      <w:r>
        <w:t>6. Exporting</w:t>
      </w:r>
    </w:p>
    <w:p>
      <w:r>
        <w:t xml:space="preserve">The </w:t>
      </w:r>
      <w:r>
        <w:rPr>
          <w:b/>
        </w:rPr>
        <w:t>Send to Origin</w:t>
      </w:r>
      <w:r>
        <w:t xml:space="preserve"> button under the plot on both analysis pages is a split button: click it to send, or click its arrow for more.</w:t>
      </w:r>
    </w:p>
    <w:tbl>
      <w:tblPr>
        <w:tblStyle w:val="TableGrid"/>
        <w:tblW w:type="auto" w:w="0"/>
        <w:jc w:val="center"/>
        <w:tblLook w:firstColumn="1" w:firstRow="1" w:lastColumn="0" w:lastRow="0" w:noHBand="0" w:noVBand="1" w:val="04A0"/>
      </w:tblPr>
      <w:tblGrid>
        <w:gridCol w:w="4873"/>
        <w:gridCol w:w="4873"/>
      </w:tblGrid>
      <w:tr>
        <w:tc>
          <w:tcPr>
            <w:tcW w:type="dxa" w:w="2721"/>
            <w:shd w:val="clear" w:color="auto" w:fill="0072B2"/>
          </w:tcPr>
          <w:p>
            <w:r/>
            <w:r>
              <w:rPr>
                <w:b/>
                <w:color w:val="FFFFFF"/>
                <w:sz w:val="19"/>
              </w:rPr>
              <w:t>Action</w:t>
            </w:r>
          </w:p>
        </w:tc>
        <w:tc>
          <w:tcPr>
            <w:tcW w:type="dxa" w:w="6576"/>
            <w:shd w:val="clear" w:color="auto" w:fill="0072B2"/>
          </w:tcPr>
          <w:p>
            <w:r/>
            <w:r>
              <w:rPr>
                <w:b/>
                <w:color w:val="FFFFFF"/>
                <w:sz w:val="19"/>
              </w:rPr>
              <w:t>What it does</w:t>
            </w:r>
          </w:p>
        </w:tc>
      </w:tr>
      <w:tr>
        <w:tc>
          <w:tcPr>
            <w:tcW w:type="dxa" w:w="2721"/>
          </w:tcPr>
          <w:p>
            <w:pPr>
              <w:spacing w:after="20"/>
            </w:pPr>
            <w:r/>
            <w:r>
              <w:rPr>
                <w:b/>
                <w:sz w:val="19"/>
              </w:rPr>
              <w:t>Send to Origin</w:t>
            </w:r>
          </w:p>
        </w:tc>
        <w:tc>
          <w:tcPr>
            <w:tcW w:type="dxa" w:w="6576"/>
          </w:tcPr>
          <w:p>
            <w:pPr>
              <w:spacing w:after="20"/>
            </w:pPr>
            <w:r/>
            <w:r>
              <w:rPr>
                <w:sz w:val="19"/>
              </w:rPr>
              <w:t xml:space="preserve">Starts OriginLab (10–20 s the first time) and builds a workbook — every trace in its own X/Y column pair with Long Name, Units and Comments, the results on a Results sheet — and a styled graph. Every later send adds to the </w:t>
            </w:r>
            <w:r>
              <w:rPr>
                <w:b/>
                <w:sz w:val="19"/>
              </w:rPr>
              <w:t>same</w:t>
            </w:r>
            <w:r>
              <w:rPr>
                <w:sz w:val="19"/>
              </w:rPr>
              <w:t xml:space="preserve"> Origin project.</w:t>
            </w:r>
          </w:p>
        </w:tc>
      </w:tr>
      <w:tr>
        <w:tc>
          <w:tcPr>
            <w:tcW w:type="dxa" w:w="2721"/>
            <w:shd w:val="clear" w:color="auto" w:fill="F3F6F9"/>
          </w:tcPr>
          <w:p>
            <w:pPr>
              <w:spacing w:after="20"/>
            </w:pPr>
            <w:r/>
            <w:r>
              <w:rPr>
                <w:b/>
                <w:sz w:val="19"/>
              </w:rPr>
              <w:t>Save Origin project…</w:t>
            </w:r>
          </w:p>
        </w:tc>
        <w:tc>
          <w:tcPr>
            <w:tcW w:type="dxa" w:w="6576"/>
            <w:shd w:val="clear" w:color="auto" w:fill="F3F6F9"/>
          </w:tcPr>
          <w:p>
            <w:pPr>
              <w:spacing w:after="20"/>
            </w:pPr>
            <w:r/>
            <w:r>
              <w:rPr>
                <w:sz w:val="19"/>
              </w:rPr>
              <w:t xml:space="preserve">Saves that project as an </w:t>
            </w:r>
            <w:r>
              <w:rPr>
                <w:rFonts w:ascii="Consolas" w:hAnsi="Consolas"/>
                <w:sz w:val="19"/>
              </w:rPr>
              <w:t>.opju</w:t>
            </w:r>
            <w:r>
              <w:rPr>
                <w:sz w:val="19"/>
              </w:rPr>
              <w:t xml:space="preserve"> file.</w:t>
            </w:r>
          </w:p>
        </w:tc>
      </w:tr>
      <w:tr>
        <w:tc>
          <w:tcPr>
            <w:tcW w:type="dxa" w:w="2721"/>
          </w:tcPr>
          <w:p>
            <w:pPr>
              <w:spacing w:after="20"/>
            </w:pPr>
            <w:r/>
            <w:r>
              <w:rPr>
                <w:b/>
                <w:sz w:val="19"/>
              </w:rPr>
              <w:t>Close Origin</w:t>
            </w:r>
          </w:p>
        </w:tc>
        <w:tc>
          <w:tcPr>
            <w:tcW w:type="dxa" w:w="6576"/>
          </w:tcPr>
          <w:p>
            <w:pPr>
              <w:spacing w:after="20"/>
            </w:pPr>
            <w:r/>
            <w:r>
              <w:rPr>
                <w:sz w:val="19"/>
              </w:rPr>
              <w:t>Closes the Origin session the application started (this application stays open).</w:t>
            </w:r>
          </w:p>
        </w:tc>
      </w:tr>
      <w:tr>
        <w:tc>
          <w:tcPr>
            <w:tcW w:type="dxa" w:w="2721"/>
            <w:shd w:val="clear" w:color="auto" w:fill="F3F6F9"/>
          </w:tcPr>
          <w:p>
            <w:pPr>
              <w:spacing w:after="20"/>
            </w:pPr>
            <w:r/>
            <w:r>
              <w:rPr>
                <w:b/>
                <w:sz w:val="19"/>
              </w:rPr>
              <w:t>Write LabTalk package (no Origin needed)…</w:t>
            </w:r>
          </w:p>
        </w:tc>
        <w:tc>
          <w:tcPr>
            <w:tcW w:type="dxa" w:w="6576"/>
            <w:shd w:val="clear" w:color="auto" w:fill="F3F6F9"/>
          </w:tcPr>
          <w:p>
            <w:pPr>
              <w:spacing w:after="20"/>
            </w:pPr>
            <w:r/>
            <w:r>
              <w:rPr>
                <w:sz w:val="19"/>
              </w:rPr>
              <w:t xml:space="preserve">Writes Origin-ready CSV files plus the script </w:t>
            </w:r>
            <w:r>
              <w:rPr>
                <w:rFonts w:ascii="Consolas" w:hAnsi="Consolas"/>
                <w:sz w:val="19"/>
              </w:rPr>
              <w:t>AeroLab_build.ogs</w:t>
            </w:r>
            <w:r>
              <w:rPr>
                <w:sz w:val="19"/>
              </w:rPr>
              <w:t xml:space="preserve"> to a folder. Copy the folder to a PC with Origin and run the script there (drag it into Origin); it rebuilds the same workbooks and graphs. The folder's README explains the details.</w:t>
            </w:r>
          </w:p>
        </w:tc>
      </w:tr>
    </w:tbl>
    <w:p>
      <w:pPr>
        <w:spacing w:after="40"/>
      </w:pPr>
    </w:p>
    <w:p>
      <w:r>
        <w:t>Graphs use the lab's colour-blind-safe palette, draw fits in the colour of the data they belong to, carry axis titles with units, and place the legend in the emptiest corner of the plot. Origin work runs on its own thread, so the window stays responsive while Origin starts.</w:t>
      </w:r>
    </w:p>
    <w:p>
      <w:pPr>
        <w:keepNext/>
        <w:jc w:val="center"/>
      </w:pPr>
      <w:r>
        <w:drawing>
          <wp:inline xmlns:a="http://schemas.openxmlformats.org/drawingml/2006/main" xmlns:pic="http://schemas.openxmlformats.org/drawingml/2006/picture">
            <wp:extent cx="4320000" cy="3061029"/>
            <wp:docPr id="4" name="Picture 4"/>
            <wp:cNvGraphicFramePr>
              <a:graphicFrameLocks noChangeAspect="1"/>
            </wp:cNvGraphicFramePr>
            <a:graphic>
              <a:graphicData uri="http://schemas.openxmlformats.org/drawingml/2006/picture">
                <pic:pic>
                  <pic:nvPicPr>
                    <pic:cNvPr id="0" name="Graph1.png"/>
                    <pic:cNvPicPr/>
                  </pic:nvPicPr>
                  <pic:blipFill>
                    <a:blip r:embed="rId12"/>
                    <a:stretch>
                      <a:fillRect/>
                    </a:stretch>
                  </pic:blipFill>
                  <pic:spPr>
                    <a:xfrm>
                      <a:off x="0" y="0"/>
                      <a:ext cx="4320000" cy="3061029"/>
                    </a:xfrm>
                    <a:prstGeom prst="rect"/>
                  </pic:spPr>
                </pic:pic>
              </a:graphicData>
            </a:graphic>
          </wp:inline>
        </w:drawing>
      </w:r>
    </w:p>
    <w:p>
      <w:pPr>
        <w:jc w:val="center"/>
      </w:pPr>
      <w:r>
        <w:rPr>
          <w:i/>
          <w:color w:val="6A7280"/>
          <w:sz w:val="18"/>
        </w:rPr>
        <w:t>Figure 3. Two FTIR spectra and a fitted-peak model as built in OriginLab — the wavenumber axis runs high to low.</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72B2"/>
          </w:tcPr>
          <w:p>
            <w:r/>
            <w:r>
              <w:rPr>
                <w:b/>
                <w:color w:val="FFFFFF"/>
                <w:sz w:val="19"/>
              </w:rPr>
              <w:t>Export</w:t>
            </w:r>
          </w:p>
        </w:tc>
        <w:tc>
          <w:tcPr>
            <w:tcW w:type="dxa" w:w="2494"/>
            <w:shd w:val="clear" w:color="auto" w:fill="0072B2"/>
          </w:tcPr>
          <w:p>
            <w:r/>
            <w:r>
              <w:rPr>
                <w:b/>
                <w:color w:val="FFFFFF"/>
                <w:sz w:val="19"/>
              </w:rPr>
              <w:t>Where</w:t>
            </w:r>
          </w:p>
        </w:tc>
        <w:tc>
          <w:tcPr>
            <w:tcW w:type="dxa" w:w="3969"/>
            <w:shd w:val="clear" w:color="auto" w:fill="0072B2"/>
          </w:tcPr>
          <w:p>
            <w:r/>
            <w:r>
              <w:rPr>
                <w:b/>
                <w:color w:val="FFFFFF"/>
                <w:sz w:val="19"/>
              </w:rPr>
              <w:t>Result</w:t>
            </w:r>
          </w:p>
        </w:tc>
      </w:tr>
      <w:tr>
        <w:tc>
          <w:tcPr>
            <w:tcW w:type="dxa" w:w="2835"/>
          </w:tcPr>
          <w:p>
            <w:pPr>
              <w:spacing w:after="20"/>
            </w:pPr>
            <w:r/>
            <w:r>
              <w:rPr>
                <w:b/>
                <w:sz w:val="19"/>
              </w:rPr>
              <w:t>Export to Excel…</w:t>
            </w:r>
          </w:p>
        </w:tc>
        <w:tc>
          <w:tcPr>
            <w:tcW w:type="dxa" w:w="2494"/>
          </w:tcPr>
          <w:p>
            <w:pPr>
              <w:spacing w:after="20"/>
            </w:pPr>
            <w:r/>
            <w:r>
              <w:rPr>
                <w:sz w:val="19"/>
              </w:rPr>
              <w:t>under the plot, Ctrl+Shift+E</w:t>
            </w:r>
          </w:p>
        </w:tc>
        <w:tc>
          <w:tcPr>
            <w:tcW w:type="dxa" w:w="3969"/>
          </w:tcPr>
          <w:p>
            <w:pPr>
              <w:spacing w:after="20"/>
            </w:pPr>
            <w:r/>
            <w:r>
              <w:rPr>
                <w:sz w:val="19"/>
              </w:rPr>
              <w:t>Summary, one sheet and native chart per trace, match and fit tables, provenance</w:t>
            </w:r>
          </w:p>
        </w:tc>
      </w:tr>
      <w:tr>
        <w:tc>
          <w:tcPr>
            <w:tcW w:type="dxa" w:w="2835"/>
            <w:shd w:val="clear" w:color="auto" w:fill="F3F6F9"/>
          </w:tcPr>
          <w:p>
            <w:pPr>
              <w:spacing w:after="20"/>
            </w:pPr>
            <w:r/>
            <w:r>
              <w:rPr>
                <w:b/>
                <w:sz w:val="19"/>
              </w:rPr>
              <w:t>Save figures…</w:t>
            </w:r>
          </w:p>
        </w:tc>
        <w:tc>
          <w:tcPr>
            <w:tcW w:type="dxa" w:w="2494"/>
            <w:shd w:val="clear" w:color="auto" w:fill="F3F6F9"/>
          </w:tcPr>
          <w:p>
            <w:pPr>
              <w:spacing w:after="20"/>
            </w:pPr>
            <w:r/>
            <w:r>
              <w:rPr>
                <w:sz w:val="19"/>
              </w:rPr>
              <w:t>under the plot</w:t>
            </w:r>
          </w:p>
        </w:tc>
        <w:tc>
          <w:tcPr>
            <w:tcW w:type="dxa" w:w="3969"/>
            <w:shd w:val="clear" w:color="auto" w:fill="F3F6F9"/>
          </w:tcPr>
          <w:p>
            <w:pPr>
              <w:spacing w:after="20"/>
            </w:pPr>
            <w:r/>
            <w:r>
              <w:rPr>
                <w:sz w:val="19"/>
              </w:rPr>
              <w:t>the plot as a 300 dpi PNG</w:t>
            </w:r>
          </w:p>
        </w:tc>
      </w:tr>
      <w:tr>
        <w:tc>
          <w:tcPr>
            <w:tcW w:type="dxa" w:w="2835"/>
          </w:tcPr>
          <w:p>
            <w:pPr>
              <w:spacing w:after="20"/>
            </w:pPr>
            <w:r/>
            <w:r>
              <w:rPr>
                <w:b/>
                <w:sz w:val="19"/>
              </w:rPr>
              <w:t>Export PDF report…</w:t>
            </w:r>
          </w:p>
        </w:tc>
        <w:tc>
          <w:tcPr>
            <w:tcW w:type="dxa" w:w="2494"/>
          </w:tcPr>
          <w:p>
            <w:pPr>
              <w:spacing w:after="20"/>
            </w:pPr>
            <w:r/>
            <w:r>
              <w:rPr>
                <w:sz w:val="19"/>
              </w:rPr>
              <w:t>Files &amp; session card, Ctrl+E</w:t>
            </w:r>
          </w:p>
        </w:tc>
        <w:tc>
          <w:tcPr>
            <w:tcW w:type="dxa" w:w="3969"/>
          </w:tcPr>
          <w:p>
            <w:pPr>
              <w:spacing w:after="20"/>
            </w:pPr>
            <w:r/>
            <w:r>
              <w:rPr>
                <w:sz w:val="19"/>
              </w:rPr>
              <w:t>plot, peak table, matches or Williamson–Hall, disclaimer</w:t>
            </w:r>
          </w:p>
        </w:tc>
      </w:tr>
      <w:tr>
        <w:tc>
          <w:tcPr>
            <w:tcW w:type="dxa" w:w="2835"/>
            <w:shd w:val="clear" w:color="auto" w:fill="F3F6F9"/>
          </w:tcPr>
          <w:p>
            <w:pPr>
              <w:spacing w:after="20"/>
            </w:pPr>
            <w:r/>
            <w:r>
              <w:rPr>
                <w:b/>
                <w:sz w:val="19"/>
              </w:rPr>
              <w:t>Export peak list (CSV)…</w:t>
            </w:r>
          </w:p>
        </w:tc>
        <w:tc>
          <w:tcPr>
            <w:tcW w:type="dxa" w:w="2494"/>
            <w:shd w:val="clear" w:color="auto" w:fill="F3F6F9"/>
          </w:tcPr>
          <w:p>
            <w:pPr>
              <w:spacing w:after="20"/>
            </w:pPr>
            <w:r/>
            <w:r>
              <w:rPr>
                <w:sz w:val="19"/>
              </w:rPr>
              <w:t>Files &amp; session card</w:t>
            </w:r>
          </w:p>
        </w:tc>
        <w:tc>
          <w:tcPr>
            <w:tcW w:type="dxa" w:w="3969"/>
            <w:shd w:val="clear" w:color="auto" w:fill="F3F6F9"/>
          </w:tcPr>
          <w:p>
            <w:pPr>
              <w:spacing w:after="20"/>
            </w:pPr>
            <w:r/>
            <w:r>
              <w:rPr>
                <w:sz w:val="19"/>
              </w:rPr>
              <w:t>the active trace's peaks</w:t>
            </w:r>
          </w:p>
        </w:tc>
      </w:tr>
      <w:tr>
        <w:tc>
          <w:tcPr>
            <w:tcW w:type="dxa" w:w="2835"/>
          </w:tcPr>
          <w:p>
            <w:pPr>
              <w:spacing w:after="20"/>
            </w:pPr>
            <w:r/>
            <w:r>
              <w:rPr>
                <w:b/>
                <w:sz w:val="19"/>
              </w:rPr>
              <w:t>Export for OriginLab (CSV)…</w:t>
            </w:r>
          </w:p>
        </w:tc>
        <w:tc>
          <w:tcPr>
            <w:tcW w:type="dxa" w:w="2494"/>
          </w:tcPr>
          <w:p>
            <w:pPr>
              <w:spacing w:after="20"/>
            </w:pPr>
            <w:r/>
            <w:r>
              <w:rPr>
                <w:sz w:val="19"/>
              </w:rPr>
              <w:t>Files &amp; session card</w:t>
            </w:r>
          </w:p>
        </w:tc>
        <w:tc>
          <w:tcPr>
            <w:tcW w:type="dxa" w:w="3969"/>
          </w:tcPr>
          <w:p>
            <w:pPr>
              <w:spacing w:after="20"/>
            </w:pPr>
            <w:r/>
            <w:r>
              <w:rPr>
                <w:sz w:val="19"/>
              </w:rPr>
              <w:t>every trace as X/Y columns with Long Name and Units rows, for Origin's Import Wizard</w:t>
            </w:r>
          </w:p>
        </w:tc>
      </w:tr>
      <w:tr>
        <w:tc>
          <w:tcPr>
            <w:tcW w:type="dxa" w:w="2835"/>
            <w:shd w:val="clear" w:color="auto" w:fill="F3F6F9"/>
          </w:tcPr>
          <w:p>
            <w:pPr>
              <w:spacing w:after="20"/>
            </w:pPr>
            <w:r/>
            <w:r>
              <w:rPr>
                <w:b/>
                <w:sz w:val="19"/>
              </w:rPr>
              <w:t>Export graph (SVG/EPS/PDF/PNG)…</w:t>
            </w:r>
          </w:p>
        </w:tc>
        <w:tc>
          <w:tcPr>
            <w:tcW w:type="dxa" w:w="2494"/>
            <w:shd w:val="clear" w:color="auto" w:fill="F3F6F9"/>
          </w:tcPr>
          <w:p>
            <w:pPr>
              <w:spacing w:after="20"/>
            </w:pPr>
            <w:r/>
            <w:r>
              <w:rPr>
                <w:sz w:val="19"/>
              </w:rPr>
              <w:t>Files &amp; session card</w:t>
            </w:r>
          </w:p>
        </w:tc>
        <w:tc>
          <w:tcPr>
            <w:tcW w:type="dxa" w:w="3969"/>
            <w:shd w:val="clear" w:color="auto" w:fill="F3F6F9"/>
          </w:tcPr>
          <w:p>
            <w:pPr>
              <w:spacing w:after="20"/>
            </w:pPr>
            <w:r/>
            <w:r>
              <w:rPr>
                <w:sz w:val="19"/>
              </w:rPr>
              <w:t>vector or 300 dpi raster graph</w:t>
            </w:r>
          </w:p>
        </w:tc>
      </w:tr>
    </w:tbl>
    <w:p>
      <w:pPr>
        <w:spacing w:after="40"/>
      </w:pPr>
    </w:p>
    <w:p>
      <w:pPr>
        <w:pStyle w:val="Heading1"/>
      </w:pPr>
      <w:r>
        <w:t>7. Sessions, undo and recent files</w:t>
      </w:r>
    </w:p>
    <w:p>
      <w:pPr>
        <w:pStyle w:val="ListBullet"/>
        <w:spacing w:after="60"/>
      </w:pPr>
      <w:r>
        <w:rPr>
          <w:b/>
        </w:rPr>
        <w:t>Save session…</w:t>
      </w:r>
      <w:r>
        <w:t xml:space="preserve"> (</w:t>
      </w:r>
      <w:r>
        <w:rPr>
          <w:b/>
        </w:rPr>
        <w:t>Ctrl+S</w:t>
      </w:r>
      <w:r>
        <w:t xml:space="preserve">) writes the page's traces, peaks, matches, fits and settings to a </w:t>
      </w:r>
      <w:r>
        <w:rPr>
          <w:rFonts w:ascii="Consolas" w:hAnsi="Consolas"/>
          <w:sz w:val="19"/>
        </w:rPr>
        <w:t>.ftirxrd</w:t>
      </w:r>
      <w:r>
        <w:t xml:space="preserve"> file; </w:t>
      </w:r>
      <w:r>
        <w:rPr>
          <w:b/>
        </w:rPr>
        <w:t>Load session…</w:t>
      </w:r>
      <w:r>
        <w:t xml:space="preserve"> (</w:t>
      </w:r>
      <w:r>
        <w:rPr>
          <w:b/>
        </w:rPr>
        <w:t>Ctrl+L</w:t>
      </w:r>
      <w:r>
        <w:t>) restores it. Open a session on the page it was saved from (FTIR or XRD) — the other page says so. Sessions from earlier versions still load.</w:t>
      </w:r>
    </w:p>
    <w:p>
      <w:pPr>
        <w:pStyle w:val="ListBullet"/>
        <w:spacing w:after="60"/>
      </w:pPr>
      <w:r>
        <w:rPr>
          <w:b/>
        </w:rPr>
        <w:t>Undo / redo</w:t>
      </w:r>
      <w:r>
        <w:t xml:space="preserve"> (</w:t>
      </w:r>
      <w:r>
        <w:rPr>
          <w:b/>
        </w:rPr>
        <w:t>Ctrl+Z / Ctrl+Y</w:t>
      </w:r>
      <w:r>
        <w:t>) cover loading, removing and hiding traces, processing, peak detection, database matching, fitting and the XRD calculations, on both pages.</w:t>
      </w:r>
    </w:p>
    <w:p>
      <w:pPr>
        <w:pStyle w:val="ListBullet"/>
        <w:spacing w:after="60"/>
      </w:pPr>
      <w:r>
        <w:rPr>
          <w:b/>
        </w:rPr>
        <w:t>File › Open recent</w:t>
      </w:r>
      <w:r>
        <w:t xml:space="preserve"> lists the last ten files.</w:t>
      </w:r>
    </w:p>
    <w:p>
      <w:pPr>
        <w:pStyle w:val="Heading1"/>
      </w:pPr>
      <w:r>
        <w:t>8. Reference database and sources</w:t>
      </w:r>
    </w:p>
    <w:p>
      <w:r>
        <w:rPr>
          <w:b/>
        </w:rPr>
        <w:t>Library › Reference database</w:t>
      </w:r>
      <w:r>
        <w:t xml:space="preserve"> (</w:t>
      </w:r>
      <w:r>
        <w:rPr>
          <w:b/>
        </w:rPr>
        <w:t>Ctrl+D</w:t>
      </w:r>
      <w:r>
        <w:t xml:space="preserve">) lists every material with its category, number of bands and source. Search by name, filter by category, and click a material to see its bands with their assignments. </w:t>
      </w:r>
      <w:r>
        <w:rPr>
          <w:b/>
        </w:rPr>
        <w:t>Library › Sources &amp; references</w:t>
      </w:r>
      <w:r>
        <w:t xml:space="preserve"> gives the database note and the full bibliography.</w:t>
      </w:r>
    </w:p>
    <w:p>
      <w:pPr>
        <w:keepNext/>
        <w:jc w:val="center"/>
      </w:pPr>
      <w:r>
        <w:drawing>
          <wp:inline xmlns:a="http://schemas.openxmlformats.org/drawingml/2006/main" xmlns:pic="http://schemas.openxmlformats.org/drawingml/2006/picture">
            <wp:extent cx="5903999" cy="3689999"/>
            <wp:docPr id="5" name="Picture 5"/>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5903999" cy="3689999"/>
                    </a:xfrm>
                    <a:prstGeom prst="rect"/>
                  </pic:spPr>
                </pic:pic>
              </a:graphicData>
            </a:graphic>
          </wp:inline>
        </w:drawing>
      </w:r>
    </w:p>
    <w:p>
      <w:pPr>
        <w:jc w:val="center"/>
      </w:pPr>
      <w:r>
        <w:rPr>
          <w:i/>
          <w:color w:val="6A7280"/>
          <w:sz w:val="18"/>
        </w:rPr>
        <w:t>Figure 4. The reference database with a material's bands shown.</w:t>
      </w:r>
    </w:p>
    <w:p>
      <w:r>
        <w:t xml:space="preserve">You can extend the database by editing </w:t>
      </w:r>
      <w:r>
        <w:rPr>
          <w:rFonts w:ascii="Consolas" w:hAnsi="Consolas"/>
          <w:sz w:val="19"/>
        </w:rPr>
        <w:t>database/ftir_reference_db.json</w:t>
      </w:r>
      <w:r>
        <w:t xml:space="preserve"> in the application folder — no code changes are needed.</w:t>
      </w:r>
    </w:p>
    <w:p>
      <w:pPr>
        <w:pStyle w:val="Heading1"/>
      </w:pPr>
      <w:r>
        <w:t>9. Keyboard shortcuts</w:t>
      </w:r>
    </w:p>
    <w:tbl>
      <w:tblPr>
        <w:tblStyle w:val="TableGrid"/>
        <w:tblW w:type="auto" w:w="0"/>
        <w:jc w:val="center"/>
        <w:tblLook w:firstColumn="1" w:firstRow="1" w:lastColumn="0" w:lastRow="0" w:noHBand="0" w:noVBand="1" w:val="04A0"/>
      </w:tblPr>
      <w:tblGrid>
        <w:gridCol w:w="4873"/>
        <w:gridCol w:w="4873"/>
      </w:tblGrid>
      <w:tr>
        <w:tc>
          <w:tcPr>
            <w:tcW w:type="dxa" w:w="2494"/>
            <w:shd w:val="clear" w:color="auto" w:fill="0072B2"/>
          </w:tcPr>
          <w:p>
            <w:r/>
            <w:r>
              <w:rPr>
                <w:b/>
                <w:color w:val="FFFFFF"/>
                <w:sz w:val="19"/>
              </w:rPr>
              <w:t>Keys</w:t>
            </w:r>
          </w:p>
        </w:tc>
        <w:tc>
          <w:tcPr>
            <w:tcW w:type="dxa" w:w="6803"/>
            <w:shd w:val="clear" w:color="auto" w:fill="0072B2"/>
          </w:tcPr>
          <w:p>
            <w:r/>
            <w:r>
              <w:rPr>
                <w:b/>
                <w:color w:val="FFFFFF"/>
                <w:sz w:val="19"/>
              </w:rPr>
              <w:t>Action</w:t>
            </w:r>
          </w:p>
        </w:tc>
      </w:tr>
      <w:tr>
        <w:tc>
          <w:tcPr>
            <w:tcW w:type="dxa" w:w="2494"/>
          </w:tcPr>
          <w:p>
            <w:pPr>
              <w:spacing w:after="20"/>
            </w:pPr>
            <w:r/>
            <w:r>
              <w:rPr>
                <w:sz w:val="19"/>
              </w:rPr>
              <w:t>Ctrl+O</w:t>
            </w:r>
          </w:p>
        </w:tc>
        <w:tc>
          <w:tcPr>
            <w:tcW w:type="dxa" w:w="6803"/>
          </w:tcPr>
          <w:p>
            <w:pPr>
              <w:spacing w:after="20"/>
            </w:pPr>
            <w:r/>
            <w:r>
              <w:rPr>
                <w:sz w:val="19"/>
              </w:rPr>
              <w:t>Open data files</w:t>
            </w:r>
          </w:p>
        </w:tc>
      </w:tr>
      <w:tr>
        <w:tc>
          <w:tcPr>
            <w:tcW w:type="dxa" w:w="2494"/>
            <w:shd w:val="clear" w:color="auto" w:fill="F3F6F9"/>
          </w:tcPr>
          <w:p>
            <w:pPr>
              <w:spacing w:after="20"/>
            </w:pPr>
            <w:r/>
            <w:r>
              <w:rPr>
                <w:sz w:val="19"/>
              </w:rPr>
              <w:t>Ctrl+Z / Ctrl+Y</w:t>
            </w:r>
          </w:p>
        </w:tc>
        <w:tc>
          <w:tcPr>
            <w:tcW w:type="dxa" w:w="6803"/>
            <w:shd w:val="clear" w:color="auto" w:fill="F3F6F9"/>
          </w:tcPr>
          <w:p>
            <w:pPr>
              <w:spacing w:after="20"/>
            </w:pPr>
            <w:r/>
            <w:r>
              <w:rPr>
                <w:sz w:val="19"/>
              </w:rPr>
              <w:t>Undo / redo</w:t>
            </w:r>
          </w:p>
        </w:tc>
      </w:tr>
      <w:tr>
        <w:tc>
          <w:tcPr>
            <w:tcW w:type="dxa" w:w="2494"/>
          </w:tcPr>
          <w:p>
            <w:pPr>
              <w:spacing w:after="20"/>
            </w:pPr>
            <w:r/>
            <w:r>
              <w:rPr>
                <w:sz w:val="19"/>
              </w:rPr>
              <w:t>Ctrl+S / Ctrl+L</w:t>
            </w:r>
          </w:p>
        </w:tc>
        <w:tc>
          <w:tcPr>
            <w:tcW w:type="dxa" w:w="6803"/>
          </w:tcPr>
          <w:p>
            <w:pPr>
              <w:spacing w:after="20"/>
            </w:pPr>
            <w:r/>
            <w:r>
              <w:rPr>
                <w:sz w:val="19"/>
              </w:rPr>
              <w:t>Save / load session</w:t>
            </w:r>
          </w:p>
        </w:tc>
      </w:tr>
      <w:tr>
        <w:tc>
          <w:tcPr>
            <w:tcW w:type="dxa" w:w="2494"/>
            <w:shd w:val="clear" w:color="auto" w:fill="F3F6F9"/>
          </w:tcPr>
          <w:p>
            <w:pPr>
              <w:spacing w:after="20"/>
            </w:pPr>
            <w:r/>
            <w:r>
              <w:rPr>
                <w:sz w:val="19"/>
              </w:rPr>
              <w:t>Ctrl+E</w:t>
            </w:r>
          </w:p>
        </w:tc>
        <w:tc>
          <w:tcPr>
            <w:tcW w:type="dxa" w:w="6803"/>
            <w:shd w:val="clear" w:color="auto" w:fill="F3F6F9"/>
          </w:tcPr>
          <w:p>
            <w:pPr>
              <w:spacing w:after="20"/>
            </w:pPr>
            <w:r/>
            <w:r>
              <w:rPr>
                <w:sz w:val="19"/>
              </w:rPr>
              <w:t>PDF report</w:t>
            </w:r>
          </w:p>
        </w:tc>
      </w:tr>
      <w:tr>
        <w:tc>
          <w:tcPr>
            <w:tcW w:type="dxa" w:w="2494"/>
          </w:tcPr>
          <w:p>
            <w:pPr>
              <w:spacing w:after="20"/>
            </w:pPr>
            <w:r/>
            <w:r>
              <w:rPr>
                <w:sz w:val="19"/>
              </w:rPr>
              <w:t>Ctrl+Shift+O</w:t>
            </w:r>
          </w:p>
        </w:tc>
        <w:tc>
          <w:tcPr>
            <w:tcW w:type="dxa" w:w="6803"/>
          </w:tcPr>
          <w:p>
            <w:pPr>
              <w:spacing w:after="20"/>
            </w:pPr>
            <w:r/>
            <w:r>
              <w:rPr>
                <w:sz w:val="19"/>
              </w:rPr>
              <w:t>Send to Origin</w:t>
            </w:r>
          </w:p>
        </w:tc>
      </w:tr>
      <w:tr>
        <w:tc>
          <w:tcPr>
            <w:tcW w:type="dxa" w:w="2494"/>
            <w:shd w:val="clear" w:color="auto" w:fill="F3F6F9"/>
          </w:tcPr>
          <w:p>
            <w:pPr>
              <w:spacing w:after="20"/>
            </w:pPr>
            <w:r/>
            <w:r>
              <w:rPr>
                <w:sz w:val="19"/>
              </w:rPr>
              <w:t>Ctrl+Shift+E</w:t>
            </w:r>
          </w:p>
        </w:tc>
        <w:tc>
          <w:tcPr>
            <w:tcW w:type="dxa" w:w="6803"/>
            <w:shd w:val="clear" w:color="auto" w:fill="F3F6F9"/>
          </w:tcPr>
          <w:p>
            <w:pPr>
              <w:spacing w:after="20"/>
            </w:pPr>
            <w:r/>
            <w:r>
              <w:rPr>
                <w:sz w:val="19"/>
              </w:rPr>
              <w:t>Export to Excel</w:t>
            </w:r>
          </w:p>
        </w:tc>
      </w:tr>
      <w:tr>
        <w:tc>
          <w:tcPr>
            <w:tcW w:type="dxa" w:w="2494"/>
          </w:tcPr>
          <w:p>
            <w:pPr>
              <w:spacing w:after="20"/>
            </w:pPr>
            <w:r/>
            <w:r>
              <w:rPr>
                <w:sz w:val="19"/>
              </w:rPr>
              <w:t>Ctrl+D</w:t>
            </w:r>
          </w:p>
        </w:tc>
        <w:tc>
          <w:tcPr>
            <w:tcW w:type="dxa" w:w="6803"/>
          </w:tcPr>
          <w:p>
            <w:pPr>
              <w:spacing w:after="20"/>
            </w:pPr>
            <w:r/>
            <w:r>
              <w:rPr>
                <w:sz w:val="19"/>
              </w:rPr>
              <w:t>Reference database</w:t>
            </w:r>
          </w:p>
        </w:tc>
      </w:tr>
      <w:tr>
        <w:tc>
          <w:tcPr>
            <w:tcW w:type="dxa" w:w="2494"/>
            <w:shd w:val="clear" w:color="auto" w:fill="F3F6F9"/>
          </w:tcPr>
          <w:p>
            <w:pPr>
              <w:spacing w:after="20"/>
            </w:pPr>
            <w:r/>
            <w:r>
              <w:rPr>
                <w:sz w:val="19"/>
              </w:rPr>
              <w:t>Ctrl+K</w:t>
            </w:r>
          </w:p>
        </w:tc>
        <w:tc>
          <w:tcPr>
            <w:tcW w:type="dxa" w:w="6803"/>
            <w:shd w:val="clear" w:color="auto" w:fill="F3F6F9"/>
          </w:tcPr>
          <w:p>
            <w:pPr>
              <w:spacing w:after="20"/>
            </w:pPr>
            <w:r/>
            <w:r>
              <w:rPr>
                <w:sz w:val="19"/>
              </w:rPr>
              <w:t>Command palette</w:t>
            </w:r>
          </w:p>
        </w:tc>
      </w:tr>
      <w:tr>
        <w:tc>
          <w:tcPr>
            <w:tcW w:type="dxa" w:w="2494"/>
          </w:tcPr>
          <w:p>
            <w:pPr>
              <w:spacing w:after="20"/>
            </w:pPr>
            <w:r/>
            <w:r>
              <w:rPr>
                <w:sz w:val="19"/>
              </w:rPr>
              <w:t>Ctrl+T</w:t>
            </w:r>
          </w:p>
        </w:tc>
        <w:tc>
          <w:tcPr>
            <w:tcW w:type="dxa" w:w="6803"/>
          </w:tcPr>
          <w:p>
            <w:pPr>
              <w:spacing w:after="20"/>
            </w:pPr>
            <w:r/>
            <w:r>
              <w:rPr>
                <w:sz w:val="19"/>
              </w:rPr>
              <w:t>Light / dark theme</w:t>
            </w:r>
          </w:p>
        </w:tc>
      </w:tr>
      <w:tr>
        <w:tc>
          <w:tcPr>
            <w:tcW w:type="dxa" w:w="2494"/>
            <w:shd w:val="clear" w:color="auto" w:fill="F3F6F9"/>
          </w:tcPr>
          <w:p>
            <w:pPr>
              <w:spacing w:after="20"/>
            </w:pPr>
            <w:r/>
            <w:r>
              <w:rPr>
                <w:sz w:val="19"/>
              </w:rPr>
              <w:t>Ctrl+1 … Ctrl+5</w:t>
            </w:r>
          </w:p>
        </w:tc>
        <w:tc>
          <w:tcPr>
            <w:tcW w:type="dxa" w:w="6803"/>
            <w:shd w:val="clear" w:color="auto" w:fill="F3F6F9"/>
          </w:tcPr>
          <w:p>
            <w:pPr>
              <w:spacing w:after="20"/>
            </w:pPr>
            <w:r/>
            <w:r>
              <w:rPr>
                <w:sz w:val="19"/>
              </w:rPr>
              <w:t>Go to a page</w:t>
            </w:r>
          </w:p>
        </w:tc>
      </w:tr>
      <w:tr>
        <w:tc>
          <w:tcPr>
            <w:tcW w:type="dxa" w:w="2494"/>
          </w:tcPr>
          <w:p>
            <w:pPr>
              <w:spacing w:after="20"/>
            </w:pPr>
            <w:r/>
            <w:r>
              <w:rPr>
                <w:sz w:val="19"/>
              </w:rPr>
              <w:t>Ctrl+Q</w:t>
            </w:r>
          </w:p>
        </w:tc>
        <w:tc>
          <w:tcPr>
            <w:tcW w:type="dxa" w:w="6803"/>
          </w:tcPr>
          <w:p>
            <w:pPr>
              <w:spacing w:after="20"/>
            </w:pPr>
            <w:r/>
            <w:r>
              <w:rPr>
                <w:sz w:val="19"/>
              </w:rPr>
              <w:t>Quit</w:t>
            </w:r>
          </w:p>
        </w:tc>
      </w:tr>
    </w:tbl>
    <w:p>
      <w:pPr>
        <w:spacing w:after="40"/>
      </w:pPr>
    </w:p>
    <w:p>
      <w:pPr>
        <w:pStyle w:val="Heading1"/>
      </w:pPr>
      <w:r>
        <w:t>10. Troubleshooting</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0072B2"/>
          </w:tcPr>
          <w:p>
            <w:r/>
            <w:r>
              <w:rPr>
                <w:b/>
                <w:color w:val="FFFFFF"/>
                <w:sz w:val="19"/>
              </w:rPr>
              <w:t>Symptom</w:t>
            </w:r>
          </w:p>
        </w:tc>
        <w:tc>
          <w:tcPr>
            <w:tcW w:type="dxa" w:w="6463"/>
            <w:shd w:val="clear" w:color="auto" w:fill="0072B2"/>
          </w:tcPr>
          <w:p>
            <w:r/>
            <w:r>
              <w:rPr>
                <w:b/>
                <w:color w:val="FFFFFF"/>
                <w:sz w:val="19"/>
              </w:rPr>
              <w:t>What to do</w:t>
            </w:r>
          </w:p>
        </w:tc>
      </w:tr>
      <w:tr>
        <w:tc>
          <w:tcPr>
            <w:tcW w:type="dxa" w:w="2835"/>
          </w:tcPr>
          <w:p>
            <w:pPr>
              <w:spacing w:after="20"/>
            </w:pPr>
            <w:r/>
            <w:r>
              <w:rPr>
                <w:sz w:val="19"/>
              </w:rPr>
              <w:t>“Could not load file”</w:t>
            </w:r>
          </w:p>
        </w:tc>
        <w:tc>
          <w:tcPr>
            <w:tcW w:type="dxa" w:w="6463"/>
          </w:tcPr>
          <w:p>
            <w:pPr>
              <w:spacing w:after="20"/>
            </w:pPr>
            <w:r/>
            <w:r>
              <w:rPr>
                <w:sz w:val="19"/>
              </w:rPr>
              <w:t>The file isn't a two-column spectrum/pattern in a supported format. Export ASCII (x, y) from the instrument software and load that.</w:t>
            </w:r>
          </w:p>
        </w:tc>
      </w:tr>
      <w:tr>
        <w:tc>
          <w:tcPr>
            <w:tcW w:type="dxa" w:w="2835"/>
            <w:shd w:val="clear" w:color="auto" w:fill="F3F6F9"/>
          </w:tcPr>
          <w:p>
            <w:pPr>
              <w:spacing w:after="20"/>
            </w:pPr>
            <w:r/>
            <w:r>
              <w:rPr>
                <w:sz w:val="19"/>
              </w:rPr>
              <w:t>“LOW-CONFIDENCE parse”</w:t>
            </w:r>
          </w:p>
        </w:tc>
        <w:tc>
          <w:tcPr>
            <w:tcW w:type="dxa" w:w="6463"/>
            <w:shd w:val="clear" w:color="auto" w:fill="F3F6F9"/>
          </w:tcPr>
          <w:p>
            <w:pPr>
              <w:spacing w:after="20"/>
            </w:pPr>
            <w:r/>
            <w:r>
              <w:rPr>
                <w:sz w:val="19"/>
              </w:rPr>
              <w:t xml:space="preserve">Best-effort binary reading (for example Bruker </w:t>
            </w:r>
            <w:r>
              <w:rPr>
                <w:rFonts w:ascii="Consolas" w:hAnsi="Consolas"/>
                <w:sz w:val="19"/>
              </w:rPr>
              <w:t>.raw</w:t>
            </w:r>
            <w:r>
              <w:rPr>
                <w:sz w:val="19"/>
              </w:rPr>
              <w:t>). Cross-check against an ASCII export before trusting it.</w:t>
            </w:r>
          </w:p>
        </w:tc>
      </w:tr>
      <w:tr>
        <w:tc>
          <w:tcPr>
            <w:tcW w:type="dxa" w:w="2835"/>
          </w:tcPr>
          <w:p>
            <w:pPr>
              <w:spacing w:after="20"/>
            </w:pPr>
            <w:r/>
            <w:r>
              <w:rPr>
                <w:sz w:val="19"/>
              </w:rPr>
              <w:t>Too many peaks</w:t>
            </w:r>
          </w:p>
        </w:tc>
        <w:tc>
          <w:tcPr>
            <w:tcW w:type="dxa" w:w="6463"/>
          </w:tcPr>
          <w:p>
            <w:pPr>
              <w:spacing w:after="20"/>
            </w:pPr>
            <w:r/>
            <w:r>
              <w:rPr>
                <w:sz w:val="19"/>
              </w:rPr>
              <w:t>Raise the peak sensitivity (prominence) and detect again; smoothing first also helps.</w:t>
            </w:r>
          </w:p>
        </w:tc>
      </w:tr>
      <w:tr>
        <w:tc>
          <w:tcPr>
            <w:tcW w:type="dxa" w:w="2835"/>
            <w:shd w:val="clear" w:color="auto" w:fill="F3F6F9"/>
          </w:tcPr>
          <w:p>
            <w:pPr>
              <w:spacing w:after="20"/>
            </w:pPr>
            <w:r/>
            <w:r>
              <w:rPr>
                <w:sz w:val="19"/>
              </w:rPr>
              <w:t>A fitted peak looks like a box</w:t>
            </w:r>
          </w:p>
        </w:tc>
        <w:tc>
          <w:tcPr>
            <w:tcW w:type="dxa" w:w="6463"/>
            <w:shd w:val="clear" w:color="auto" w:fill="F3F6F9"/>
          </w:tcPr>
          <w:p>
            <w:pPr>
              <w:spacing w:after="20"/>
            </w:pPr>
            <w:r/>
            <w:r>
              <w:rPr>
                <w:sz w:val="19"/>
              </w:rPr>
              <w:t xml:space="preserve">The fit window is narrower than the band — increase </w:t>
            </w:r>
            <w:r>
              <w:rPr>
                <w:b/>
                <w:sz w:val="19"/>
              </w:rPr>
              <w:t>Fit window (±)</w:t>
            </w:r>
            <w:r>
              <w:rPr>
                <w:sz w:val="19"/>
              </w:rPr>
              <w:t xml:space="preserve"> and fit again.</w:t>
            </w:r>
          </w:p>
        </w:tc>
      </w:tr>
      <w:tr>
        <w:tc>
          <w:tcPr>
            <w:tcW w:type="dxa" w:w="2835"/>
          </w:tcPr>
          <w:p>
            <w:pPr>
              <w:spacing w:after="20"/>
            </w:pPr>
            <w:r/>
            <w:r>
              <w:rPr>
                <w:sz w:val="19"/>
              </w:rPr>
              <w:t>Hundreds of database candidates</w:t>
            </w:r>
          </w:p>
        </w:tc>
        <w:tc>
          <w:tcPr>
            <w:tcW w:type="dxa" w:w="6463"/>
          </w:tcPr>
          <w:p>
            <w:pPr>
              <w:spacing w:after="20"/>
            </w:pPr>
            <w:r/>
            <w:r>
              <w:rPr>
                <w:sz w:val="19"/>
              </w:rPr>
              <w:t>Restrict the search to a category and reduce the tolerance.</w:t>
            </w:r>
          </w:p>
        </w:tc>
      </w:tr>
      <w:tr>
        <w:tc>
          <w:tcPr>
            <w:tcW w:type="dxa" w:w="2835"/>
            <w:shd w:val="clear" w:color="auto" w:fill="F3F6F9"/>
          </w:tcPr>
          <w:p>
            <w:pPr>
              <w:spacing w:after="20"/>
            </w:pPr>
            <w:r/>
            <w:r>
              <w:rPr>
                <w:sz w:val="19"/>
              </w:rPr>
              <w:t>Excel or PDF export fails</w:t>
            </w:r>
          </w:p>
        </w:tc>
        <w:tc>
          <w:tcPr>
            <w:tcW w:type="dxa" w:w="6463"/>
            <w:shd w:val="clear" w:color="auto" w:fill="F3F6F9"/>
          </w:tcPr>
          <w:p>
            <w:pPr>
              <w:spacing w:after="20"/>
            </w:pPr>
            <w:r/>
            <w:r>
              <w:rPr>
                <w:sz w:val="19"/>
              </w:rPr>
              <w:t>The file is open in another program — close it and export again.</w:t>
            </w:r>
          </w:p>
        </w:tc>
      </w:tr>
    </w:tbl>
    <w:p>
      <w:pPr>
        <w:spacing w:after="40"/>
      </w:pPr>
    </w:p>
    <w:p>
      <w:pPr>
        <w:pStyle w:val="Heading1"/>
      </w:pPr>
      <w:r>
        <w:t>11. About</w:t>
      </w:r>
    </w:p>
    <w:p>
      <w:pPr>
        <w:keepNext/>
        <w:jc w:val="center"/>
      </w:pPr>
      <w:r>
        <w:drawing>
          <wp:inline xmlns:a="http://schemas.openxmlformats.org/drawingml/2006/main" xmlns:pic="http://schemas.openxmlformats.org/drawingml/2006/picture">
            <wp:extent cx="5903999" cy="3689999"/>
            <wp:docPr id="6" name="Picture 6"/>
            <wp:cNvGraphicFramePr>
              <a:graphicFrameLocks noChangeAspect="1"/>
            </wp:cNvGraphicFramePr>
            <a:graphic>
              <a:graphicData uri="http://schemas.openxmlformats.org/drawingml/2006/picture">
                <pic:pic>
                  <pic:nvPicPr>
                    <pic:cNvPr id="0" name="about.png"/>
                    <pic:cNvPicPr/>
                  </pic:nvPicPr>
                  <pic:blipFill>
                    <a:blip r:embed="rId14"/>
                    <a:stretch>
                      <a:fillRect/>
                    </a:stretch>
                  </pic:blipFill>
                  <pic:spPr>
                    <a:xfrm>
                      <a:off x="0" y="0"/>
                      <a:ext cx="5903999" cy="3689999"/>
                    </a:xfrm>
                    <a:prstGeom prst="rect"/>
                  </pic:spPr>
                </pic:pic>
              </a:graphicData>
            </a:graphic>
          </wp:inline>
        </w:drawing>
      </w:r>
    </w:p>
    <w:p>
      <w:pPr>
        <w:jc w:val="center"/>
      </w:pPr>
      <w:r>
        <w:rPr>
          <w:i/>
          <w:color w:val="6A7280"/>
          <w:sz w:val="18"/>
        </w:rPr>
        <w:t>Figure 5. The About page: author, laboratory, database contents and environment.</w:t>
      </w:r>
    </w:p>
    <w:sectPr w:rsidR="00FC693F" w:rsidRPr="0006063C" w:rsidSect="00034616">
      <w:footerReference w:type="default" r:id="rId15"/>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280"/>
        <w:sz w:val="17"/>
      </w:rPr>
      <w:t xml:space="preserve">FTIR &amp; XRD Analysis Toolkit 3.0.0 — user guide   ·   page </w:t>
    </w:r>
    <w:r>
      <w:rPr>
        <w:color w:val="6A7280"/>
        <w:sz w:val="17"/>
      </w:rPr>
      <w:fldChar w:fldCharType="begin"/>
    </w:r>
    <w:r>
      <w:rPr>
        <w:color w:val="6A7280"/>
        <w:sz w:val="17"/>
      </w:rPr>
      <w:instrText xml:space="preserve">PAGE</w:instrText>
    </w:r>
    <w:r>
      <w:rPr>
        <w:color w:val="6A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0072B2"/>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Calibri" w:hAnsi="Calibri" w:eastAsia="Calibri" w:cs="Calibri"/>
      <w:b/>
      <w:bCs/>
      <w:i w:val="0"/>
      <w:color w:val="0072B2"/>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Calibri" w:hAnsi="Calibri" w:eastAsia="Calibri" w:cs="Calibri"/>
      <w:b/>
      <w:bCs/>
      <w:i w:val="0"/>
      <w:color w:val="1B1F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