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980000" cy="1191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l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1911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0072B2"/>
          <w:sz w:val="60"/>
        </w:rPr>
        <w:t>Supercapacitor &amp; DSC Analysis Suite</w:t>
      </w:r>
    </w:p>
    <w:p>
      <w:r>
        <w:rPr>
          <w:color w:val="6A7280"/>
          <w:sz w:val="28"/>
        </w:rPr>
        <w:t>Electrochemical and thermal analysis for supercapacitors and gel electrolytes</w:t>
      </w:r>
    </w:p>
    <w:p/>
    <w:p>
      <w:r>
        <w:rPr>
          <w:b/>
          <w:sz w:val="26"/>
        </w:rPr>
        <w:t>User guide  ·  version 2.1.0</w:t>
      </w:r>
    </w:p>
    <w:p/>
    <w:p/>
    <w:p/>
    <w:p/>
    <w:p/>
    <w:p/>
    <w:p/>
    <w:p/>
    <w:p>
      <w:r>
        <w:rPr>
          <w:color w:val="6A7280"/>
        </w:rPr>
        <w:t xml:space="preserve">Made by </w:t>
      </w:r>
      <w:r>
        <w:rPr>
          <w:b/>
        </w:rPr>
        <w:t>Ezzeldien Yousef</w:t>
      </w:r>
      <w:r>
        <w:t xml:space="preserve">  ·  ezzyousef2@aucegypt.edu</w:t>
      </w:r>
    </w:p>
    <w:p>
      <w:pPr>
        <w:spacing w:after="40"/>
      </w:pPr>
      <w:r>
        <w:t>EML — Energy Materials Laboratory</w:t>
      </w:r>
    </w:p>
    <w:p>
      <w:r>
        <w:rPr>
          <w:color w:val="6A7280"/>
        </w:rPr>
        <w:t>September 2026</w:t>
      </w:r>
    </w:p>
    <w:p>
      <w:r>
        <w:br w:type="page"/>
      </w:r>
    </w:p>
    <w:p>
      <w:r>
        <w:rPr>
          <w:b/>
          <w:color w:val="0072B2"/>
          <w:sz w:val="34"/>
        </w:rPr>
        <w:t>Contents</w:t>
      </w:r>
    </w:p>
    <w:p>
      <w:pPr>
        <w:spacing w:after="60"/>
      </w:pPr>
      <w:r>
        <w:rPr>
          <w:b/>
          <w:color w:val="0072B2"/>
        </w:rPr>
        <w:t xml:space="preserve">1.  </w:t>
      </w:r>
      <w:r>
        <w:t>What the suite does</w:t>
      </w:r>
    </w:p>
    <w:p>
      <w:pPr>
        <w:spacing w:after="60"/>
      </w:pPr>
      <w:r>
        <w:rPr>
          <w:b/>
          <w:color w:val="0072B2"/>
        </w:rPr>
        <w:t xml:space="preserve">2.  </w:t>
      </w:r>
      <w:r>
        <w:t>Installing and starting</w:t>
      </w:r>
    </w:p>
    <w:p>
      <w:pPr>
        <w:spacing w:after="60"/>
      </w:pPr>
      <w:r>
        <w:rPr>
          <w:b/>
          <w:color w:val="0072B2"/>
        </w:rPr>
        <w:t xml:space="preserve">3.  </w:t>
      </w:r>
      <w:r>
        <w:t>The window</w:t>
      </w:r>
    </w:p>
    <w:p>
      <w:pPr>
        <w:spacing w:after="60"/>
      </w:pPr>
      <w:r>
        <w:rPr>
          <w:b/>
          <w:color w:val="0072B2"/>
        </w:rPr>
        <w:t xml:space="preserve">4.  </w:t>
      </w:r>
      <w:r>
        <w:t>How every tool works</w:t>
      </w:r>
    </w:p>
    <w:p>
      <w:pPr>
        <w:spacing w:after="60"/>
      </w:pPr>
      <w:r>
        <w:rPr>
          <w:b/>
          <w:color w:val="0072B2"/>
        </w:rPr>
        <w:t xml:space="preserve">5.  </w:t>
      </w:r>
      <w:r>
        <w:t>Manual calculator</w:t>
      </w:r>
    </w:p>
    <w:p>
      <w:pPr>
        <w:spacing w:after="60"/>
      </w:pPr>
      <w:r>
        <w:rPr>
          <w:b/>
          <w:color w:val="0072B2"/>
        </w:rPr>
        <w:t xml:space="preserve">6.  </w:t>
      </w:r>
      <w:r>
        <w:t>Charge / discharge (GCD)</w:t>
      </w:r>
    </w:p>
    <w:p>
      <w:pPr>
        <w:spacing w:after="60"/>
      </w:pPr>
      <w:r>
        <w:rPr>
          <w:b/>
          <w:color w:val="0072B2"/>
        </w:rPr>
        <w:t xml:space="preserve">7.  </w:t>
      </w:r>
      <w:r>
        <w:t>Cycling stability</w:t>
      </w:r>
    </w:p>
    <w:p>
      <w:pPr>
        <w:spacing w:after="60"/>
      </w:pPr>
      <w:r>
        <w:rPr>
          <w:b/>
          <w:color w:val="0072B2"/>
        </w:rPr>
        <w:t xml:space="preserve">8.  </w:t>
      </w:r>
      <w:r>
        <w:t>Cyclic voltammetry</w:t>
      </w:r>
    </w:p>
    <w:p>
      <w:pPr>
        <w:spacing w:after="60"/>
      </w:pPr>
      <w:r>
        <w:rPr>
          <w:b/>
          <w:color w:val="0072B2"/>
        </w:rPr>
        <w:t xml:space="preserve">9.  </w:t>
      </w:r>
      <w:r>
        <w:t>Rate study</w:t>
      </w:r>
    </w:p>
    <w:p>
      <w:pPr>
        <w:spacing w:after="60"/>
      </w:pPr>
      <w:r>
        <w:rPr>
          <w:b/>
          <w:color w:val="0072B2"/>
        </w:rPr>
        <w:t xml:space="preserve">10.  </w:t>
      </w:r>
      <w:r>
        <w:t>Impedance (EIS)</w:t>
      </w:r>
    </w:p>
    <w:p>
      <w:pPr>
        <w:spacing w:after="60"/>
      </w:pPr>
      <w:r>
        <w:rPr>
          <w:b/>
          <w:color w:val="0072B2"/>
        </w:rPr>
        <w:t xml:space="preserve">11.  </w:t>
      </w:r>
      <w:r>
        <w:t>Relaxation times (DRT)</w:t>
      </w:r>
    </w:p>
    <w:p>
      <w:pPr>
        <w:spacing w:after="60"/>
      </w:pPr>
      <w:r>
        <w:rPr>
          <w:b/>
          <w:color w:val="0072B2"/>
        </w:rPr>
        <w:t xml:space="preserve">12.  </w:t>
      </w:r>
      <w:r>
        <w:t>DSC</w:t>
      </w:r>
    </w:p>
    <w:p>
      <w:pPr>
        <w:spacing w:after="60"/>
      </w:pPr>
      <w:r>
        <w:rPr>
          <w:b/>
          <w:color w:val="0072B2"/>
        </w:rPr>
        <w:t xml:space="preserve">13.  </w:t>
      </w:r>
      <w:r>
        <w:t>Recording and comparing results</w:t>
      </w:r>
    </w:p>
    <w:p>
      <w:pPr>
        <w:spacing w:after="60"/>
      </w:pPr>
      <w:r>
        <w:rPr>
          <w:b/>
          <w:color w:val="0072B2"/>
        </w:rPr>
        <w:t xml:space="preserve">14.  </w:t>
      </w:r>
      <w:r>
        <w:t>Exporting</w:t>
      </w:r>
    </w:p>
    <w:p>
      <w:pPr>
        <w:spacing w:after="60"/>
      </w:pPr>
      <w:r>
        <w:rPr>
          <w:b/>
          <w:color w:val="0072B2"/>
        </w:rPr>
        <w:t xml:space="preserve">15.  </w:t>
      </w:r>
      <w:r>
        <w:t>Shortcuts</w:t>
      </w:r>
    </w:p>
    <w:p>
      <w:pPr>
        <w:spacing w:after="60"/>
      </w:pPr>
      <w:r>
        <w:rPr>
          <w:b/>
          <w:color w:val="0072B2"/>
        </w:rPr>
        <w:t xml:space="preserve">16.  </w:t>
      </w:r>
      <w:r>
        <w:t>Accuracy and sources</w:t>
      </w:r>
    </w:p>
    <w:p>
      <w:r>
        <w:br w:type="page"/>
      </w:r>
    </w:p>
    <w:p>
      <w:pPr>
        <w:pStyle w:val="Heading1"/>
      </w:pPr>
      <w:r>
        <w:t>1. What the suite does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Tool</w:t>
            </w:r>
          </w:p>
        </w:tc>
        <w:tc>
          <w:tcPr>
            <w:tcW w:type="dxa" w:w="6803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What it calculates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Manual calculator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GCD/CV capacitance, energy and power density, ionic conductivity, 2-/3-electrode conversions and DSC enthalpy from numbers you already have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Charge / discharge (GCD)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Linear or integral capacitance (chosen from the discharge shape), ESR, energy and power density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Cycling stability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Capacitance retention and coulombic efficiency over many cycles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Cyclic voltammetry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Specific capacitance or capacity by cycle integration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Rate study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Capacitance vs scan rate or current density, b-value, Dunn's and Trasatti's methods, Randles–Ševčík diffusion coefficient, Ragone plot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Impedance (EIS)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Nyquist/Bode plots, Kramers–Kronig check, equivalent-circuit fitting, low-frequency capacitance, ionic conductivity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Relaxation times (DRT)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Distribution of relaxation times with peak interpretation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DSC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Peak integration and enthalpy; free / freezable-bound / non-freezable water in gel electrolytes</w:t>
            </w:r>
          </w:p>
        </w:tc>
      </w:tr>
    </w:tbl>
    <w:p>
      <w:pPr>
        <w:spacing w:after="40"/>
      </w:pPr>
    </w:p>
    <w:p>
      <w:pPr>
        <w:pStyle w:val="Heading1"/>
      </w:pPr>
      <w:r>
        <w:t>2. Installing and starting</w:t>
      </w:r>
    </w:p>
    <w:p>
      <w:pPr>
        <w:pStyle w:val="Heading2"/>
      </w:pPr>
      <w:r>
        <w:t>Installer (recommended)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t xml:space="preserve">Run </w:t>
      </w:r>
      <w:r>
        <w:rPr>
          <w:rFonts w:ascii="Consolas" w:hAnsi="Consolas"/>
          <w:sz w:val="19"/>
        </w:rPr>
        <w:t>installer\output\SupercapSuiteSetup.exe</w:t>
      </w:r>
      <w:r>
        <w:t xml:space="preserve"> and follow the wizard (it creates a Start-menu shortcut and, if you tick it, a desktop shortcut; it can be removed from Windows Settings › Apps).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t>Start the application from the Start menu. A splash screen shows while it loads.</w:t>
      </w:r>
    </w:p>
    <w:p>
      <w:pPr>
        <w:pStyle w:val="Heading2"/>
      </w:pPr>
      <w:r>
        <w:t>Portable copy (no installation)</w:t>
      </w:r>
    </w:p>
    <w:p>
      <w:r>
        <w:t xml:space="preserve">Unzip </w:t>
      </w:r>
      <w:r>
        <w:rPr>
          <w:rFonts w:ascii="Consolas" w:hAnsi="Consolas"/>
          <w:sz w:val="19"/>
        </w:rPr>
        <w:t>dist\SupercapSuite-2.1.0-portable.zip</w:t>
      </w:r>
      <w:r>
        <w:t xml:space="preserve"> anywhere and run </w:t>
      </w:r>
      <w:r>
        <w:rPr>
          <w:rFonts w:ascii="Consolas" w:hAnsi="Consolas"/>
          <w:sz w:val="19"/>
        </w:rPr>
        <w:t>SupercapSuite.exe</w:t>
      </w:r>
      <w:r>
        <w:t xml:space="preserve"> inside the folder. Keep the whole folder together — the exe needs every file next to it.</w:t>
      </w:r>
    </w:p>
    <w:p>
      <w:pPr>
        <w:pStyle w:val="Heading2"/>
      </w:pPr>
      <w:r>
        <w:t>From source (developers)</w:t>
      </w:r>
    </w:p>
    <w:p>
      <w:r>
        <w:t xml:space="preserve">With Python 3.11 or newer: </w:t>
      </w:r>
      <w:r>
        <w:rPr>
          <w:rFonts w:ascii="Consolas" w:hAnsi="Consolas"/>
          <w:sz w:val="19"/>
        </w:rPr>
        <w:t>pip install -r requirements.txt</w:t>
      </w:r>
      <w:r>
        <w:t xml:space="preserve">, then </w:t>
      </w:r>
      <w:r>
        <w:rPr>
          <w:rFonts w:ascii="Consolas" w:hAnsi="Consolas"/>
          <w:sz w:val="19"/>
        </w:rPr>
        <w:t>python main.py</w:t>
      </w:r>
      <w:r>
        <w:t xml:space="preserve">. </w:t>
      </w:r>
      <w:r>
        <w:rPr>
          <w:rFonts w:ascii="Consolas" w:hAnsi="Consolas"/>
          <w:sz w:val="19"/>
        </w:rPr>
        <w:t>docs/BEGINNER_SETUP_VSCODE.md</w:t>
      </w:r>
      <w:r>
        <w:t xml:space="preserve"> walks through a first Python setup step by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3FB"/>
          </w:tcPr>
          <w:p>
            <w:pPr>
              <w:spacing w:after="40"/>
            </w:pPr>
            <w:r/>
            <w:r>
              <w:rPr>
                <w:b/>
                <w:color w:val="0072B2"/>
              </w:rPr>
              <w:t xml:space="preserve">Tip   </w:t>
            </w:r>
            <w:r>
              <w:rPr>
                <w:rFonts w:ascii="Consolas" w:hAnsi="Consolas"/>
                <w:sz w:val="19"/>
              </w:rPr>
              <w:t>python main.py --selftest</w:t>
            </w:r>
            <w:r>
              <w:t xml:space="preserve"> (or the exe with </w:t>
            </w:r>
            <w:r>
              <w:rPr>
                <w:rFonts w:ascii="Consolas" w:hAnsi="Consolas"/>
                <w:sz w:val="19"/>
              </w:rPr>
              <w:t>--selftest</w:t>
            </w:r>
            <w:r>
              <w:t xml:space="preserve">) exercises the whole application without opening a window and prints PASSED or FAILED — useful after installing on a new PC. </w:t>
            </w:r>
            <w:r>
              <w:rPr>
                <w:rFonts w:ascii="Consolas" w:hAnsi="Consolas"/>
                <w:sz w:val="19"/>
              </w:rPr>
              <w:t>--version</w:t>
            </w:r>
            <w:r>
              <w:t xml:space="preserve"> prints the version.</w:t>
            </w:r>
          </w:p>
        </w:tc>
      </w:tr>
    </w:tbl>
    <w:p>
      <w:pPr>
        <w:spacing w:after="40"/>
      </w:pPr>
    </w:p>
    <w:p>
      <w:pPr>
        <w:pStyle w:val="Heading1"/>
      </w:pPr>
      <w:r>
        <w:t>3. The window</w:t>
      </w:r>
    </w:p>
    <w:p>
      <w:r>
        <w:t xml:space="preserve">Every page is one click away on the dark </w:t>
      </w:r>
      <w:r>
        <w:rPr>
          <w:b/>
        </w:rPr>
        <w:t>navigation rail</w:t>
      </w:r>
      <w:r>
        <w:t xml:space="preserve"> on the left, grouped as follows: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041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Rail group</w:t>
            </w:r>
          </w:p>
        </w:tc>
        <w:tc>
          <w:tcPr>
            <w:tcW w:type="dxa" w:w="7257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Pages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Calculate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Manual calculator</w:t>
            </w:r>
          </w:p>
        </w:tc>
      </w:tr>
      <w:tr>
        <w:tc>
          <w:tcPr>
            <w:tcW w:type="dxa" w:w="2041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Charge storage</w:t>
            </w:r>
          </w:p>
        </w:tc>
        <w:tc>
          <w:tcPr>
            <w:tcW w:type="dxa" w:w="7257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Charge / discharge, Cycling stability, Cyclic voltammetry, Rate study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Impedance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Impedance (EIS), Relaxation times (DRT)</w:t>
            </w:r>
          </w:p>
        </w:tc>
      </w:tr>
      <w:tr>
        <w:tc>
          <w:tcPr>
            <w:tcW w:type="dxa" w:w="2041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Thermal</w:t>
            </w:r>
          </w:p>
        </w:tc>
        <w:tc>
          <w:tcPr>
            <w:tcW w:type="dxa" w:w="7257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DSC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sz w:val="19"/>
              </w:rPr>
              <w:t>Help</w:t>
            </w:r>
          </w:p>
        </w:tc>
        <w:tc>
          <w:tcPr>
            <w:tcW w:type="dxa" w:w="7257"/>
          </w:tcPr>
          <w:p>
            <w:pPr>
              <w:spacing w:after="20"/>
            </w:pPr>
            <w:r/>
            <w:r>
              <w:rPr>
                <w:sz w:val="19"/>
              </w:rPr>
              <w:t>How to use, About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b/>
        </w:rPr>
        <w:t>Status bar</w:t>
      </w:r>
      <w:r>
        <w:t xml:space="preserve"> (bottom): the last action, and on the right a count or the plot coordinates under the mouse.</w:t>
      </w:r>
    </w:p>
    <w:p>
      <w:pPr>
        <w:pStyle w:val="ListBullet"/>
        <w:spacing w:after="60"/>
      </w:pPr>
      <w:r>
        <w:rPr>
          <w:b/>
        </w:rPr>
        <w:t>Notifications</w:t>
      </w:r>
      <w:r>
        <w:t xml:space="preserve"> appear briefly in the bottom-right corner and never block your work; anything that needs a decision opens a dialog instead.</w:t>
      </w:r>
    </w:p>
    <w:p>
      <w:pPr>
        <w:pStyle w:val="ListBullet"/>
        <w:spacing w:after="60"/>
      </w:pPr>
      <w:r>
        <w:rPr>
          <w:b/>
        </w:rPr>
        <w:t>Command palette</w:t>
      </w:r>
      <w:r>
        <w:t xml:space="preserve"> — press </w:t>
      </w:r>
      <w:r>
        <w:rPr>
          <w:b/>
        </w:rPr>
        <w:t>Ctrl+K</w:t>
      </w:r>
      <w:r>
        <w:t xml:space="preserve"> and type part of any action or page name, then Enter.</w:t>
      </w:r>
    </w:p>
    <w:p>
      <w:pPr>
        <w:pStyle w:val="ListBullet"/>
        <w:spacing w:after="60"/>
      </w:pPr>
      <w:r>
        <w:rPr>
          <w:b/>
        </w:rPr>
        <w:t>Light / dark theme</w:t>
      </w:r>
      <w:r>
        <w:t xml:space="preserve"> — </w:t>
      </w:r>
      <w:r>
        <w:rPr>
          <w:b/>
        </w:rPr>
        <w:t>Ctrl+T</w:t>
      </w:r>
      <w:r>
        <w:t xml:space="preserve"> or </w:t>
      </w:r>
      <w:r>
        <w:rPr>
          <w:b/>
        </w:rPr>
        <w:t>View › Toggle light / dark theme</w:t>
      </w:r>
      <w:r>
        <w:t>. Plots follow the theme on screen; exported figures are always light.</w:t>
      </w:r>
    </w:p>
    <w:p>
      <w:pPr>
        <w:pStyle w:val="ListBullet"/>
        <w:spacing w:after="60"/>
      </w:pPr>
      <w:r>
        <w:rPr>
          <w:b/>
        </w:rPr>
        <w:t>Ctrl+1 … Ctrl+9</w:t>
      </w:r>
      <w:r>
        <w:t xml:space="preserve"> jump straight to the pages in rail order.</w:t>
      </w:r>
    </w:p>
    <w:p>
      <w:r>
        <w:t xml:space="preserve">The </w:t>
      </w:r>
      <w:r>
        <w:rPr>
          <w:b/>
        </w:rPr>
        <w:t>File</w:t>
      </w:r>
      <w:r>
        <w:t xml:space="preserve"> menu opens a data file for the tool on screen (</w:t>
      </w:r>
      <w:r>
        <w:rPr>
          <w:b/>
        </w:rPr>
        <w:t>Ctrl+O</w:t>
      </w:r>
      <w:r>
        <w:t>), opens its export menu (</w:t>
      </w:r>
      <w:r>
        <w:rPr>
          <w:b/>
        </w:rPr>
        <w:t>Ctrl+E</w:t>
      </w:r>
      <w:r>
        <w:t>), and saves or closes the Origin session. Undo and redo work inside each table and results log (section 12).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1. The suite with the Manual calculator open.</w:t>
      </w:r>
    </w:p>
    <w:p>
      <w:pPr>
        <w:pStyle w:val="Heading1"/>
      </w:pPr>
      <w:r>
        <w:t>4. How every tool works</w:t>
      </w:r>
    </w:p>
    <w:p>
      <w:r>
        <w:t>Every analysis tool follows the same three steps, top to bottom on its left-hand panel: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rPr>
          <w:b/>
        </w:rPr>
        <w:t>1) Data</w:t>
      </w:r>
      <w:r>
        <w:t xml:space="preserve"> — open a file with the </w:t>
      </w:r>
      <w:r>
        <w:rPr>
          <w:b/>
        </w:rPr>
        <w:t>📂 Open … file</w:t>
      </w:r>
      <w:r>
        <w:t xml:space="preserve"> button (Excel, CSV or EC-Lab </w:t>
      </w:r>
      <w:r>
        <w:rPr>
          <w:rFonts w:ascii="Consolas" w:hAnsi="Consolas"/>
          <w:sz w:val="19"/>
        </w:rPr>
        <w:t>.mpt</w:t>
      </w:r>
      <w:r>
        <w:t xml:space="preserve">; </w:t>
      </w:r>
      <w:r>
        <w:rPr>
          <w:rFonts w:ascii="Consolas" w:hAnsi="Consolas"/>
          <w:sz w:val="19"/>
        </w:rPr>
        <w:t>.mpr</w:t>
      </w:r>
      <w:r>
        <w:t xml:space="preserve"> where noted), choose the </w:t>
      </w:r>
      <w:r>
        <w:rPr>
          <w:b/>
        </w:rPr>
        <w:t>Sheet</w:t>
      </w:r>
      <w:r>
        <w:t xml:space="preserve"> for a workbook, and check the </w:t>
      </w:r>
      <w:r>
        <w:rPr>
          <w:b/>
        </w:rPr>
        <w:t>Column mapping</w:t>
      </w:r>
      <w:r>
        <w:t xml:space="preserve"> (guessed from common EC-Lab names, always editable). Many tools also import several files at once (</w:t>
      </w:r>
      <w:r>
        <w:rPr>
          <w:b/>
        </w:rPr>
        <w:t>📚 Import multiple … files (batch)…</w:t>
      </w:r>
      <w:r>
        <w:t>).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rPr>
          <w:b/>
        </w:rPr>
        <w:t>2) Configure</w:t>
      </w:r>
      <w:r>
        <w:t xml:space="preserve"> — mass or area basis, windows, thresholds, cell configuration. Options you rarely need sit in collapsed </w:t>
      </w:r>
      <w:r>
        <w:rPr>
          <w:b/>
        </w:rPr>
        <w:t>Advanced</w:t>
      </w:r>
      <w:r>
        <w:t xml:space="preserve"> sections.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3.  </w:t>
      </w:r>
      <w:r>
        <w:rPr>
          <w:b/>
        </w:rPr>
        <w:t>Analyze</w:t>
      </w:r>
      <w:r>
        <w:t xml:space="preserve"> — the blue </w:t>
      </w:r>
      <w:r>
        <w:rPr>
          <w:b/>
        </w:rPr>
        <w:t>▶</w:t>
      </w:r>
      <w:r>
        <w:t xml:space="preserve"> button runs the calculation. The headline result appears in a card above the plot, with every secondary value and any warnings, and a </w:t>
      </w:r>
      <w:r>
        <w:rPr>
          <w:b/>
        </w:rPr>
        <w:t>ⓘ Formula &amp; source</w:t>
      </w:r>
      <w:r>
        <w:t xml:space="preserve"> link showing the exact equation and citation.</w:t>
      </w:r>
    </w:p>
    <w:p>
      <w:pPr>
        <w:pStyle w:val="ListBullet"/>
        <w:spacing w:after="60"/>
      </w:pPr>
      <w:r>
        <w:t xml:space="preserve">The right-hand side holds the </w:t>
      </w:r>
      <w:r>
        <w:rPr>
          <w:b/>
        </w:rPr>
        <w:t>Plot</w:t>
      </w:r>
      <w:r>
        <w:t xml:space="preserve"> (toolbar: zoom, pan, save image), </w:t>
      </w:r>
      <w:r>
        <w:rPr>
          <w:b/>
        </w:rPr>
        <w:t>Results summary</w:t>
      </w:r>
      <w:r>
        <w:t xml:space="preserve"> and </w:t>
      </w:r>
      <w:r>
        <w:rPr>
          <w:b/>
        </w:rPr>
        <w:t>Data table</w:t>
      </w:r>
      <w:r>
        <w:t xml:space="preserve">. Each pane can be collapsed by its header or closed with </w:t>
      </w:r>
      <w:r>
        <w:rPr>
          <w:b/>
        </w:rPr>
        <w:t>✕</w:t>
      </w:r>
      <w:r>
        <w:t xml:space="preserve"> — right-click the results area to bring a closed pane back. </w:t>
      </w:r>
      <w:r>
        <w:rPr>
          <w:b/>
        </w:rPr>
        <w:t>⇔ Maximize results</w:t>
      </w:r>
      <w:r>
        <w:t xml:space="preserve"> hides the settings panel.</w:t>
      </w:r>
    </w:p>
    <w:p>
      <w:pPr>
        <w:pStyle w:val="ListBullet"/>
        <w:spacing w:after="60"/>
      </w:pPr>
      <w:r>
        <w:t>Drag the divider between the two panels to resize them; a horizontal scrollbar appears if a panel is narrower than its content.</w:t>
      </w:r>
    </w:p>
    <w:p>
      <w:pPr>
        <w:pStyle w:val="ListBullet"/>
        <w:spacing w:after="60"/>
      </w:pPr>
      <w:r>
        <w:t xml:space="preserve">The </w:t>
      </w:r>
      <w:r>
        <w:rPr>
          <w:b/>
        </w:rPr>
        <w:t>Export ▾</w:t>
      </w:r>
      <w:r>
        <w:t xml:space="preserve"> button is enabled once a result exists (section 13).</w:t>
      </w:r>
    </w:p>
    <w:p>
      <w:pPr>
        <w:pStyle w:val="Heading1"/>
      </w:pPr>
      <w:r>
        <w:t>5. Manual calculator</w:t>
      </w:r>
    </w:p>
    <w:p>
      <w:r>
        <w:t xml:space="preserve">Sub-tabs: </w:t>
      </w:r>
      <w:r>
        <w:rPr>
          <w:b/>
        </w:rPr>
        <w:t>GCD capacitance</w:t>
      </w:r>
      <w:r>
        <w:t xml:space="preserve">, </w:t>
      </w:r>
      <w:r>
        <w:rPr>
          <w:b/>
        </w:rPr>
        <w:t>CV capacitance</w:t>
      </w:r>
      <w:r>
        <w:t xml:space="preserve">, </w:t>
      </w:r>
      <w:r>
        <w:rPr>
          <w:b/>
        </w:rPr>
        <w:t>Energy / power density</w:t>
      </w:r>
      <w:r>
        <w:t xml:space="preserve">, </w:t>
      </w:r>
      <w:r>
        <w:rPr>
          <w:b/>
        </w:rPr>
        <w:t>Ionic conductivity</w:t>
      </w:r>
      <w:r>
        <w:t xml:space="preserve">, </w:t>
      </w:r>
      <w:r>
        <w:rPr>
          <w:b/>
        </w:rPr>
        <w:t>2e ↔ 3e conversions</w:t>
      </w:r>
      <w:r>
        <w:t xml:space="preserve"> and </w:t>
      </w:r>
      <w:r>
        <w:rPr>
          <w:b/>
        </w:rPr>
        <w:t>DSC enthalpy (from peak area)</w:t>
      </w:r>
      <w:r>
        <w:t xml:space="preserve">. Type the known values (each with its unit) and click </w:t>
      </w:r>
      <w:r>
        <w:rPr>
          <w:b/>
        </w:rPr>
        <w:t>▶ Calculate</w:t>
      </w:r>
      <w:r>
        <w:t>. Results can be recorded and exported like any other tool's.</w:t>
      </w:r>
    </w:p>
    <w:p>
      <w:pPr>
        <w:pStyle w:val="Heading1"/>
      </w:pPr>
      <w:r>
        <w:t>6. Charge / discharge (GCD)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rPr>
          <w:b/>
        </w:rPr>
        <w:t>📂 Open GCD file (Excel / CSV / .mpt)…</w:t>
      </w:r>
      <w:r>
        <w:t xml:space="preserve"> and check </w:t>
      </w:r>
      <w:r>
        <w:rPr>
          <w:b/>
        </w:rPr>
        <w:t>Column mapping</w:t>
      </w:r>
      <w:r>
        <w:t xml:space="preserve"> (time, voltage, optional current).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t xml:space="preserve">In </w:t>
      </w:r>
      <w:r>
        <w:rPr>
          <w:b/>
        </w:rPr>
        <w:t>Discharge segment (row range, 0-indexed)</w:t>
      </w:r>
      <w:r>
        <w:t xml:space="preserve"> click </w:t>
      </w:r>
      <w:r>
        <w:rPr>
          <w:b/>
        </w:rPr>
        <w:t>Auto-detect charge/discharge segments</w:t>
      </w:r>
      <w:r>
        <w:t xml:space="preserve">, pick the discharge you want (or set the rows by hand) and </w:t>
      </w:r>
      <w:r>
        <w:rPr>
          <w:b/>
        </w:rPr>
        <w:t>Preview segment on plot</w:t>
      </w:r>
      <w:r>
        <w:t xml:space="preserve"> to confirm it is the discharge.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3.  </w:t>
      </w:r>
      <w:r>
        <w:t xml:space="preserve">In </w:t>
      </w:r>
      <w:r>
        <w:rPr>
          <w:b/>
        </w:rPr>
        <w:t>2) Configure › Test parameters</w:t>
      </w:r>
      <w:r>
        <w:t xml:space="preserve"> choose the current source (a current column with its unit, or a manual current), then the </w:t>
      </w:r>
      <w:r>
        <w:rPr>
          <w:b/>
        </w:rPr>
        <w:t>Capacitance basis</w:t>
      </w:r>
      <w:r>
        <w:t xml:space="preserve"> (mass, area or volume) and the </w:t>
      </w:r>
      <w:r>
        <w:rPr>
          <w:b/>
        </w:rPr>
        <w:t>Cell configuration</w:t>
      </w:r>
      <w:r>
        <w:t xml:space="preserve"> (3-electrode, symmetric or asymmetric 2-electrode).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4.  </w:t>
      </w:r>
      <w:r>
        <w:t xml:space="preserve">Leave </w:t>
      </w:r>
      <w:r>
        <w:rPr>
          <w:b/>
        </w:rPr>
        <w:t>3) Advanced: capacitance formula override</w:t>
      </w:r>
      <w:r>
        <w:t xml:space="preserve"> on auto-detect to let the app choose the linear or integral formula from the R² of the discharge, or force one.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5.  </w:t>
      </w:r>
      <w:r>
        <w:t xml:space="preserve">Click </w:t>
      </w:r>
      <w:r>
        <w:rPr>
          <w:b/>
        </w:rPr>
        <w:t>▶ Analyze discharge segment</w:t>
      </w:r>
      <w:r>
        <w:t xml:space="preserve"> — capacitance, ESR, energy and power density, with the method and R² always shown. The IR drop is excluded from ΔV by default, ESR uses ΔV_IR / 2I when the discharge follows charging directly, and energy and power are not given for a three-electrode measurement.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2. The Charge / discharge tool before a file is loaded.</w:t>
      </w:r>
    </w:p>
    <w:p>
      <w:pPr>
        <w:pStyle w:val="Heading1"/>
      </w:pPr>
      <w:r>
        <w:t>7. Cycling stability</w:t>
      </w:r>
    </w:p>
    <w:p>
      <w:r>
        <w:rPr>
          <w:b/>
        </w:rPr>
        <w:t>📂 Open multi-cycle GCD file (Excel / CSV / .mpt / .mpr)…</w:t>
      </w:r>
      <w:r>
        <w:t xml:space="preserve">, map the columns, set </w:t>
      </w:r>
      <w:r>
        <w:rPr>
          <w:b/>
        </w:rPr>
        <w:t>Test parameters</w:t>
      </w:r>
      <w:r>
        <w:t xml:space="preserve"> and click </w:t>
      </w:r>
      <w:r>
        <w:rPr>
          <w:b/>
        </w:rPr>
        <w:t>▶ Analyze cycling stability</w:t>
      </w:r>
      <w:r>
        <w:t xml:space="preserve">. For very long files, </w:t>
      </w:r>
      <w:r>
        <w:rPr>
          <w:b/>
        </w:rPr>
        <w:t>3) Downsample table / plot / export</w:t>
      </w:r>
      <w:r>
        <w:t xml:space="preserve"> keeps every n-th cycle (</w:t>
      </w:r>
      <w:r>
        <w:rPr>
          <w:b/>
        </w:rPr>
        <w:t>Always keep the last cycle</w:t>
      </w:r>
      <w:r>
        <w:t xml:space="preserve">, </w:t>
      </w:r>
      <w:r>
        <w:rPr>
          <w:b/>
        </w:rPr>
        <w:t>Also apply to the plot markers</w:t>
      </w:r>
      <w:r>
        <w:t xml:space="preserve">, </w:t>
      </w:r>
      <w:r>
        <w:rPr>
          <w:b/>
        </w:rPr>
        <w:t>Apply downsampling</w:t>
      </w:r>
      <w:r>
        <w:t xml:space="preserve">, </w:t>
      </w:r>
      <w:r>
        <w:rPr>
          <w:b/>
        </w:rPr>
        <w:t>Reset (show all cycles)</w:t>
      </w:r>
      <w:r>
        <w:t>).</w:t>
      </w:r>
    </w:p>
    <w:p>
      <w:pPr>
        <w:pStyle w:val="Heading1"/>
      </w:pPr>
      <w:r>
        <w:t>8. Cyclic voltammetry</w:t>
      </w:r>
    </w:p>
    <w:p>
      <w:r>
        <w:rPr>
          <w:b/>
        </w:rPr>
        <w:t>📂 Open CV file (Excel / CSV / .mpt)…</w:t>
      </w:r>
      <w:r>
        <w:t xml:space="preserve">, map the columns, choose </w:t>
      </w:r>
      <w:r>
        <w:rPr>
          <w:b/>
        </w:rPr>
        <w:t>One CV cycle (row range)</w:t>
      </w:r>
      <w:r>
        <w:t xml:space="preserve"> and </w:t>
      </w:r>
      <w:r>
        <w:rPr>
          <w:b/>
        </w:rPr>
        <w:t>Preview cycle (I vs V)</w:t>
      </w:r>
      <w:r>
        <w:t xml:space="preserve">. Set the scan rate and mass in </w:t>
      </w:r>
      <w:r>
        <w:rPr>
          <w:b/>
        </w:rPr>
        <w:t>Parameters</w:t>
      </w:r>
      <w:r>
        <w:t xml:space="preserve">, the </w:t>
      </w:r>
      <w:r>
        <w:rPr>
          <w:b/>
        </w:rPr>
        <w:t>Capacitance basis</w:t>
      </w:r>
      <w:r>
        <w:t xml:space="preserve"> and </w:t>
      </w:r>
      <w:r>
        <w:rPr>
          <w:b/>
        </w:rPr>
        <w:t>Report as</w:t>
      </w:r>
      <w:r>
        <w:t xml:space="preserve"> (specific capacitance F/g, or specific capacity C/g for battery-type materials), then </w:t>
      </w:r>
      <w:r>
        <w:rPr>
          <w:b/>
        </w:rPr>
        <w:t>▶ Analyze CV cycle</w:t>
      </w:r>
      <w:r>
        <w:t>. If a file stacks several cycles, pick the cycle to analyse — the app warns before mixing cycles.</w:t>
      </w:r>
    </w:p>
    <w:p>
      <w:pPr>
        <w:pStyle w:val="Heading1"/>
      </w:pPr>
      <w:r>
        <w:t>9. Rate study</w:t>
      </w:r>
    </w:p>
    <w:p>
      <w:pPr>
        <w:pStyle w:val="Heading2"/>
      </w:pPr>
      <w:r>
        <w:t>CV vs. scan rate (Dunn's / Trasatti's / b-value)</w:t>
      </w:r>
    </w:p>
    <w:p>
      <w:pPr>
        <w:pStyle w:val="ListBullet"/>
        <w:spacing w:after="60"/>
      </w:pPr>
      <w:r>
        <w:t>Fill the tables from files (</w:t>
      </w:r>
      <w:r>
        <w:rPr>
          <w:b/>
        </w:rPr>
        <w:t>📂 Import from summary file…</w:t>
      </w:r>
      <w:r>
        <w:t xml:space="preserve"> or </w:t>
      </w:r>
      <w:r>
        <w:rPr>
          <w:b/>
        </w:rPr>
        <w:t>📂 Import multiple raw CV files (one per scan rate)…</w:t>
      </w:r>
      <w:r>
        <w:t>) or type rows (</w:t>
      </w:r>
      <w:r>
        <w:rPr>
          <w:b/>
        </w:rPr>
        <w:t>+ Add row</w:t>
      </w:r>
      <w:r>
        <w:t>), with the units of each column.</w:t>
      </w:r>
    </w:p>
    <w:p>
      <w:pPr>
        <w:pStyle w:val="ListBullet"/>
        <w:spacing w:after="60"/>
      </w:pPr>
      <w:r>
        <w:rPr>
          <w:b/>
        </w:rPr>
        <w:t>▶ Run Trasatti's method</w:t>
      </w:r>
      <w:r>
        <w:t xml:space="preserve"> — outer, inner and total capacitance, both extrapolations drawn side by side.</w:t>
      </w:r>
    </w:p>
    <w:p>
      <w:pPr>
        <w:pStyle w:val="ListBullet"/>
        <w:spacing w:after="60"/>
      </w:pPr>
      <w:r>
        <w:rPr>
          <w:b/>
        </w:rPr>
        <w:t>▶ Run b-value analysis</w:t>
      </w:r>
      <w:r>
        <w:t xml:space="preserve"> and </w:t>
      </w:r>
      <w:r>
        <w:rPr>
          <w:b/>
        </w:rPr>
        <w:t>▶ Run capacitive/diffusive split (Dunn's method)</w:t>
      </w:r>
      <w:r>
        <w:t>.</w:t>
      </w:r>
    </w:p>
    <w:p>
      <w:pPr>
        <w:pStyle w:val="ListBullet"/>
        <w:spacing w:after="60"/>
      </w:pPr>
      <w:r>
        <w:rPr>
          <w:b/>
        </w:rPr>
        <w:t>Randles-Sevcik parameters</w:t>
      </w:r>
      <w:r>
        <w:t xml:space="preserve"> then </w:t>
      </w:r>
      <w:r>
        <w:rPr>
          <w:b/>
        </w:rPr>
        <w:t>▶ Compute diffusion coefficient D</w:t>
      </w:r>
      <w:r>
        <w:t>.</w:t>
      </w:r>
    </w:p>
    <w:p>
      <w:pPr>
        <w:pStyle w:val="Heading2"/>
      </w:pPr>
      <w:r>
        <w:t>GCD vs. current density (rate capability)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rPr>
          <w:b/>
        </w:rPr>
        <w:t>📂 Open GCD file…</w:t>
      </w:r>
      <w:r>
        <w:t xml:space="preserve">, </w:t>
      </w:r>
      <w:r>
        <w:rPr>
          <w:b/>
        </w:rPr>
        <w:t>Auto-detect charge/discharge segments</w:t>
      </w:r>
      <w:r>
        <w:t xml:space="preserve">, then add one discharge per current with </w:t>
      </w:r>
      <w:r>
        <w:rPr>
          <w:b/>
        </w:rPr>
        <w:t>+ Add this segment to the rate study</w:t>
      </w:r>
      <w:r>
        <w:t>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t xml:space="preserve">Click </w:t>
      </w:r>
      <w:r>
        <w:rPr>
          <w:b/>
        </w:rPr>
        <w:t>▶ Run rate-capability analysis</w:t>
      </w:r>
      <w:r>
        <w:t xml:space="preserve"> — capacitance, energy, power and retention against current density. Tick </w:t>
      </w:r>
      <w:r>
        <w:rPr>
          <w:b/>
        </w:rPr>
        <w:t>Show as Ragone plot</w:t>
      </w:r>
      <w:r>
        <w:t xml:space="preserve"> for energy against power on log–log axes.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3.  </w:t>
      </w:r>
      <w:r>
        <w:rPr>
          <w:b/>
        </w:rPr>
        <w:t>Remove selected segment</w:t>
      </w:r>
      <w:r>
        <w:t xml:space="preserve"> takes a segment out; </w:t>
      </w:r>
      <w:r>
        <w:rPr>
          <w:b/>
        </w:rPr>
        <w:t>↶ Undo remove segment / ↷ Redo remove segment</w:t>
      </w:r>
      <w:r>
        <w:t xml:space="preserve"> reverse it.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3. The Rate study tool.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3DC"/>
          </w:tcPr>
          <w:p>
            <w:pPr>
              <w:spacing w:after="40"/>
            </w:pPr>
            <w:r/>
            <w:r>
              <w:rPr>
                <w:b/>
                <w:color w:val="9A6400"/>
              </w:rPr>
              <w:t xml:space="preserve">Important   </w:t>
            </w:r>
            <w:r>
              <w:t>The b-value and Dunn's-method split carry a documented literature critique (Pervez &amp; Stallard, Small, 2023). Treat them as indicative, not definitive.</w:t>
            </w:r>
          </w:p>
        </w:tc>
      </w:tr>
    </w:tbl>
    <w:p>
      <w:pPr>
        <w:spacing w:after="40"/>
      </w:pPr>
    </w:p>
    <w:p>
      <w:pPr>
        <w:pStyle w:val="Heading1"/>
      </w:pPr>
      <w:r>
        <w:t>10. Impedance (EIS)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rPr>
          <w:b/>
        </w:rPr>
        <w:t>📂 Open EIS file (Excel / CSV / .mpt)…</w:t>
      </w:r>
      <w:r>
        <w:t>, map Z real, Z imaginary and frequency, choose the Im(Z) sign convention and, for stacked spectra, the cycle to analyse.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t xml:space="preserve">Click </w:t>
      </w:r>
      <w:r>
        <w:rPr>
          <w:b/>
        </w:rPr>
        <w:t>Load &amp; preview spectrum</w:t>
      </w:r>
      <w:r>
        <w:t xml:space="preserve">. Tick </w:t>
      </w:r>
      <w:r>
        <w:rPr>
          <w:b/>
        </w:rPr>
        <w:t>Show as Bode plot</w:t>
      </w:r>
      <w:r>
        <w:t xml:space="preserve"> for |Z| and phase against frequency.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3.  </w:t>
      </w:r>
      <w:r>
        <w:t xml:space="preserve">Optional: </w:t>
      </w:r>
      <w:r>
        <w:rPr>
          <w:b/>
        </w:rPr>
        <w:t>Inductive loop removal</w:t>
      </w:r>
      <w:r>
        <w:t xml:space="preserve"> drops the high-frequency points below the real axis; </w:t>
      </w:r>
      <w:r>
        <w:rPr>
          <w:b/>
        </w:rPr>
        <w:t>▶ Run Kramers-Kronig validity test</w:t>
      </w:r>
      <w:r>
        <w:t xml:space="preserve"> checks the data is self-consistent before fitting. It also warns when the residuals follow a smooth trend with frequency (drift during the sweep), even if they pass.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4.  </w:t>
      </w:r>
      <w:r>
        <w:rPr>
          <w:b/>
        </w:rPr>
        <w:t>Low-frequency capacitance</w:t>
      </w:r>
      <w:r>
        <w:t xml:space="preserve"> — enter the active mass, </w:t>
      </w:r>
      <w:r>
        <w:rPr>
          <w:b/>
        </w:rPr>
        <w:t>▶ Compute C from lowest-frequency point</w:t>
      </w:r>
      <w:r>
        <w:t>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5.  </w:t>
      </w:r>
      <w:r>
        <w:rPr>
          <w:b/>
        </w:rPr>
        <w:t>Ionic conductivity (2-electrode ion-blocking cell)</w:t>
      </w:r>
      <w:r>
        <w:t xml:space="preserve"> — enter thickness and electrode area, </w:t>
      </w:r>
      <w:r>
        <w:rPr>
          <w:b/>
        </w:rPr>
        <w:t>Compute σ from bulk resistance (Nyquist intercept)</w:t>
      </w:r>
      <w:r>
        <w:t>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6.  </w:t>
      </w:r>
      <w:r>
        <w:rPr>
          <w:b/>
        </w:rPr>
        <w:t>Equivalent circuit fit</w:t>
      </w:r>
      <w:r>
        <w:t xml:space="preserve"> — choose a </w:t>
      </w:r>
      <w:r>
        <w:rPr>
          <w:b/>
        </w:rPr>
        <w:t>Category</w:t>
      </w:r>
      <w:r>
        <w:t xml:space="preserve"> (start with </w:t>
      </w:r>
      <w:r>
        <w:rPr>
          <w:i/>
        </w:rPr>
        <w:t>Supercapacitor (recommended)</w:t>
      </w:r>
      <w:r>
        <w:t xml:space="preserve">) and a </w:t>
      </w:r>
      <w:r>
        <w:rPr>
          <w:b/>
        </w:rPr>
        <w:t>Circuit</w:t>
      </w:r>
      <w:r>
        <w:t xml:space="preserve">, then </w:t>
      </w:r>
      <w:r>
        <w:rPr>
          <w:b/>
        </w:rPr>
        <w:t>▶ Fit this circuit</w:t>
      </w:r>
      <w:r>
        <w:t>. The fit is overlaid on the data, the circuit diagram is drawn (</w:t>
      </w:r>
      <w:r>
        <w:rPr>
          <w:b/>
        </w:rPr>
        <w:t>Show fitted values on diagram</w:t>
      </w:r>
      <w:r>
        <w:t xml:space="preserve">, </w:t>
      </w:r>
      <w:r>
        <w:rPr>
          <w:b/>
        </w:rPr>
        <w:t>⬇ Export circuit diagram as image…</w:t>
      </w:r>
      <w:r>
        <w:t>) and parameters are listed with the fit quality as an RMS residual in % of |Z|. Auto-detect ranks circuits by AICc, so a more complex circuit has to earn its extra parameters.</w:t>
      </w:r>
    </w:p>
    <w:p>
      <w:r>
        <w:t xml:space="preserve">Outlier points can be removed from the table with </w:t>
      </w:r>
      <w:r>
        <w:rPr>
          <w:b/>
        </w:rPr>
        <w:t>🗑 Remove selected row(s) &amp; redraw</w:t>
      </w:r>
      <w:r>
        <w:t xml:space="preserve"> (and restored with </w:t>
      </w:r>
      <w:r>
        <w:rPr>
          <w:b/>
        </w:rPr>
        <w:t>↶ Undo row removal</w:t>
      </w:r>
      <w:r>
        <w:t xml:space="preserve">). </w:t>
      </w:r>
      <w:r>
        <w:rPr>
          <w:b/>
        </w:rPr>
        <w:t>📚 Import multiple EIS files (batch fit)…</w:t>
      </w:r>
      <w:r>
        <w:t xml:space="preserve"> fits a whole set.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4. An impedance spectrum previewed as a Nyquist plot.</w:t>
      </w:r>
    </w:p>
    <w:p>
      <w:pPr>
        <w:pStyle w:val="Heading1"/>
      </w:pPr>
      <w:r>
        <w:t>11. Relaxation times (DRT)</w:t>
      </w:r>
    </w:p>
    <w:p>
      <w:r>
        <w:rPr>
          <w:b/>
        </w:rPr>
        <w:t>📂 Open EIS file…</w:t>
      </w:r>
      <w:r>
        <w:t xml:space="preserve">, map the columns, optionally remove the inductive loop, set the options in </w:t>
      </w:r>
      <w:r>
        <w:rPr>
          <w:b/>
        </w:rPr>
        <w:t>DRT / DCT deconvolution</w:t>
      </w:r>
      <w:r>
        <w:t xml:space="preserve"> and click </w:t>
      </w:r>
      <w:r>
        <w:rPr>
          <w:b/>
        </w:rPr>
        <w:t>▶ Run analysis</w:t>
      </w:r>
      <w:r>
        <w:t>. Peaks are interpreted by frequency region; the tool cross-checks its warnings with the DCT.</w:t>
      </w:r>
    </w:p>
    <w:p>
      <w:pPr>
        <w:pStyle w:val="Heading1"/>
      </w:pPr>
      <w:r>
        <w:t>12. DSC</w:t>
      </w:r>
    </w:p>
    <w:p>
      <w:pPr>
        <w:pStyle w:val="Heading2"/>
      </w:pPr>
      <w:r>
        <w:t>Raw curve → peak area / enthalpy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rPr>
          <w:b/>
        </w:rPr>
        <w:t>📂 Open DSC file (Excel / CSV / PDF)…</w:t>
      </w:r>
      <w:r>
        <w:t xml:space="preserve"> and map the time or temperature and heat-flow columns.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rPr>
          <w:b/>
        </w:rPr>
        <w:t>Auto-detect peak (position, value &amp; enthalpy)</w:t>
      </w:r>
      <w:r>
        <w:t xml:space="preserve">, or set </w:t>
      </w:r>
      <w:r>
        <w:rPr>
          <w:b/>
        </w:rPr>
        <w:t>Peak region (row range)</w:t>
      </w:r>
      <w:r>
        <w:t xml:space="preserve"> by hand, and </w:t>
      </w:r>
      <w:r>
        <w:rPr>
          <w:b/>
        </w:rPr>
        <w:t>Preview peak + baseline</w:t>
      </w:r>
      <w:r>
        <w:t>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3.  </w:t>
      </w:r>
      <w:r>
        <w:t xml:space="preserve">Configure the sample mass and, if wanted, </w:t>
      </w:r>
      <w:r>
        <w:rPr>
          <w:b/>
        </w:rPr>
        <w:t>Water-type auto-calculation (optional)</w:t>
      </w:r>
      <w:r>
        <w:t>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4.  </w:t>
      </w:r>
      <w:r>
        <w:rPr>
          <w:b/>
        </w:rPr>
        <w:t>▶ Integrate peak (linear baseline)</w:t>
      </w:r>
      <w:r>
        <w:t xml:space="preserve"> — peak area (J) and specific enthalpy (J/g). </w:t>
      </w:r>
      <w:r>
        <w:rPr>
          <w:b/>
        </w:rPr>
        <w:t>Send peak area (J) to Water-type tool →</w:t>
      </w:r>
      <w:r>
        <w:t xml:space="preserve"> passes the area on.</w:t>
      </w:r>
    </w:p>
    <w:p>
      <w:pPr>
        <w:pStyle w:val="Heading2"/>
      </w:pPr>
      <w:r>
        <w:t>Water-type classification (free / bound)</w:t>
      </w:r>
    </w:p>
    <w:p>
      <w:r>
        <w:t xml:space="preserve">Enter the water and dry masses and the melting-peak area(s), then </w:t>
      </w:r>
      <w:r>
        <w:rPr>
          <w:b/>
        </w:rPr>
        <w:t>▶ Classify water content</w:t>
      </w:r>
      <w:r>
        <w:t xml:space="preserve"> for free, freezable-bound and non-freezable-bound water. The heat-of-fusion constant is under </w:t>
      </w:r>
      <w:r>
        <w:rPr>
          <w:b/>
        </w:rPr>
        <w:t>Advanced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5. The DSC tool.</w:t>
      </w:r>
    </w:p>
    <w:p>
      <w:pPr>
        <w:pStyle w:val="Heading1"/>
      </w:pPr>
      <w:r>
        <w:t>13. Recording and comparing results</w:t>
      </w:r>
    </w:p>
    <w:p>
      <w:r>
        <w:t xml:space="preserve">Under each tool's results, </w:t>
      </w:r>
      <w:r>
        <w:rPr>
          <w:b/>
        </w:rPr>
        <w:t>Recorded results (compare samples / runs)</w:t>
      </w:r>
      <w:r>
        <w:t xml:space="preserve"> collects results from several runs into one table: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1.  </w:t>
      </w:r>
      <w:r>
        <w:t xml:space="preserve">After an analysis, type a </w:t>
      </w:r>
      <w:r>
        <w:rPr>
          <w:b/>
        </w:rPr>
        <w:t>Sample / run label</w:t>
      </w:r>
      <w:r>
        <w:t xml:space="preserve"> (for example </w:t>
      </w:r>
      <w:r>
        <w:rPr>
          <w:i/>
        </w:rPr>
        <w:t>Sample A, 10 mV/s</w:t>
      </w:r>
      <w:r>
        <w:t xml:space="preserve">) and click </w:t>
      </w:r>
      <w:r>
        <w:rPr>
          <w:b/>
        </w:rPr>
        <w:t>+ Record this result</w:t>
      </w:r>
      <w:r>
        <w:t>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2.  </w:t>
      </w:r>
      <w:r>
        <w:t>Repeat for each sample or condition — each becomes a row, parameters as columns.</w:t>
      </w:r>
    </w:p>
    <w:p>
      <w:pPr>
        <w:spacing w:after="80"/>
        <w:ind w:left="454" w:hanging="340"/>
      </w:pPr>
      <w:r>
        <w:rPr>
          <w:b/>
          <w:color w:val="0072B2"/>
        </w:rPr>
        <w:t xml:space="preserve">3.  </w:t>
      </w:r>
      <w:r>
        <w:rPr>
          <w:b/>
        </w:rPr>
        <w:t>⬇ Export log to Excel…</w:t>
      </w:r>
      <w:r>
        <w:t xml:space="preserve"> adds the table to an existing workbook; </w:t>
      </w:r>
      <w:r>
        <w:rPr>
          <w:b/>
        </w:rPr>
        <w:t>⬇ Save log as Excel…</w:t>
      </w:r>
      <w:r>
        <w:t xml:space="preserve"> writes a new one. </w:t>
      </w:r>
      <w:r>
        <w:rPr>
          <w:b/>
        </w:rPr>
        <w:t>Remove selected row</w:t>
      </w:r>
      <w:r>
        <w:t xml:space="preserve"> and </w:t>
      </w:r>
      <w:r>
        <w:rPr>
          <w:b/>
        </w:rPr>
        <w:t>Clear log</w:t>
      </w:r>
      <w:r>
        <w:t xml:space="preserve"> tidy it; </w:t>
      </w:r>
      <w:r>
        <w:rPr>
          <w:b/>
        </w:rPr>
        <w:t>↶ Undo / ↷ Redo</w:t>
      </w:r>
      <w:r>
        <w:t xml:space="preserve"> (or </w:t>
      </w:r>
      <w:r>
        <w:rPr>
          <w:b/>
        </w:rPr>
        <w:t>Ctrl+X / Ctrl+Y</w:t>
      </w:r>
      <w:r>
        <w:t xml:space="preserve"> while the log has focus) reverse those.</w:t>
      </w:r>
    </w:p>
    <w:p>
      <w:pPr>
        <w:pStyle w:val="Heading1"/>
      </w:pPr>
      <w:r>
        <w:t>14. Exporting</w:t>
      </w:r>
    </w:p>
    <w:p>
      <w:r>
        <w:t xml:space="preserve">The </w:t>
      </w:r>
      <w:r>
        <w:rPr>
          <w:b/>
        </w:rPr>
        <w:t>Export ▾</w:t>
      </w:r>
      <w:r>
        <w:t xml:space="preserve"> button of a tool (or </w:t>
      </w:r>
      <w:r>
        <w:rPr>
          <w:b/>
        </w:rPr>
        <w:t>Ctrl+E</w:t>
      </w:r>
      <w:r>
        <w:t>) opens its destinations: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Menu item</w:t>
            </w:r>
          </w:p>
        </w:tc>
        <w:tc>
          <w:tcPr>
            <w:tcW w:type="dxa" w:w="5896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📊 Export to Excel (existing workbook)…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sz w:val="19"/>
              </w:rPr>
              <w:t>Adds the results and data as a new sheet of a workbook you already have (or appends to a sheet you name).</w:t>
            </w:r>
          </w:p>
        </w:tc>
      </w:tr>
      <w:tr>
        <w:tc>
          <w:tcPr>
            <w:tcW w:type="dxa" w:w="3402"/>
            <w:shd w:val="clear" w:color="auto" w:fill="F3F6F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💾 Save as new Excel workbook…</w:t>
            </w:r>
          </w:p>
        </w:tc>
        <w:tc>
          <w:tcPr>
            <w:tcW w:type="dxa" w:w="5896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Writes a new workbook.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🔬 Send to OriginLab (data + graph)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sz w:val="19"/>
              </w:rPr>
              <w:t>Pushes the data and results into a worksheet of the running Origin session and builds a styled graph: data as symbols, fits as lines in their data's colour, axis titles with units (Z′, −Z″, 1/√v…), legend clear of the data. Each send adds to the same project.</w:t>
            </w:r>
          </w:p>
        </w:tc>
      </w:tr>
      <w:tr>
        <w:tc>
          <w:tcPr>
            <w:tcW w:type="dxa" w:w="3402"/>
            <w:shd w:val="clear" w:color="auto" w:fill="F3F6F9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💾 Save Origin project…</w:t>
            </w:r>
          </w:p>
        </w:tc>
        <w:tc>
          <w:tcPr>
            <w:tcW w:type="dxa" w:w="5896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Saves the Origin project (.opju).</w:t>
            </w:r>
          </w:p>
        </w:tc>
      </w:tr>
      <w:tr>
        <w:tc>
          <w:tcPr>
            <w:tcW w:type="dxa" w:w="3402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✕ Close Origin session (keeps this app open)</w:t>
            </w:r>
          </w:p>
        </w:tc>
        <w:tc>
          <w:tcPr>
            <w:tcW w:type="dxa" w:w="5896"/>
          </w:tcPr>
          <w:p>
            <w:pPr>
              <w:spacing w:after="20"/>
            </w:pPr>
            <w:r/>
            <w:r>
              <w:rPr>
                <w:sz w:val="19"/>
              </w:rPr>
              <w:t>Closes Origin cleanly.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3DC"/>
          </w:tcPr>
          <w:p>
            <w:pPr>
              <w:spacing w:after="40"/>
            </w:pPr>
            <w:r/>
            <w:r>
              <w:rPr>
                <w:b/>
                <w:color w:val="9A6400"/>
              </w:rPr>
              <w:t xml:space="preserve">Important   </w:t>
            </w:r>
            <w:r>
              <w:t xml:space="preserve">Origin cannot be closed with its own window button while this application controls it — use </w:t>
            </w:r>
            <w:r>
              <w:rPr>
                <w:b/>
              </w:rPr>
              <w:t>✕ Close Origin session</w:t>
            </w:r>
            <w:r>
              <w:t xml:space="preserve"> (or File › Close Origin session) instead. The suite explains this the first time Origin starts.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30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6. An impedance spectrum and its circuit fit as built in OriginLab.</w:t>
      </w:r>
    </w:p>
    <w:p>
      <w:pPr>
        <w:pStyle w:val="Heading1"/>
      </w:pPr>
      <w:r>
        <w:t>15. Shortcuts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Keys</w:t>
            </w:r>
          </w:p>
        </w:tc>
        <w:tc>
          <w:tcPr>
            <w:tcW w:type="dxa" w:w="6803"/>
            <w:shd w:val="clear" w:color="auto" w:fill="0072B2"/>
          </w:tcPr>
          <w:p>
            <w:r/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Ctrl+O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Open a data file in the tool on screen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Ctrl+E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Open that tool's export menu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Ctrl+X / Ctrl+Y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Undo / redo inside a data table or the recorded-results log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Ctrl+K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Command palette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Ctrl+T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Light / dark theme</w:t>
            </w:r>
          </w:p>
        </w:tc>
      </w:tr>
      <w:tr>
        <w:tc>
          <w:tcPr>
            <w:tcW w:type="dxa" w:w="2494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Ctrl+1 … Ctrl+9</w:t>
            </w:r>
          </w:p>
        </w:tc>
        <w:tc>
          <w:tcPr>
            <w:tcW w:type="dxa" w:w="6803"/>
            <w:shd w:val="clear" w:color="auto" w:fill="F3F6F9"/>
          </w:tcPr>
          <w:p>
            <w:pPr>
              <w:spacing w:after="20"/>
            </w:pPr>
            <w:r/>
            <w:r>
              <w:rPr>
                <w:sz w:val="19"/>
              </w:rPr>
              <w:t>Go to a tool</w:t>
            </w:r>
          </w:p>
        </w:tc>
      </w:tr>
      <w:tr>
        <w:tc>
          <w:tcPr>
            <w:tcW w:type="dxa" w:w="2494"/>
          </w:tcPr>
          <w:p>
            <w:pPr>
              <w:spacing w:after="20"/>
            </w:pPr>
            <w:r/>
            <w:r>
              <w:rPr>
                <w:sz w:val="19"/>
              </w:rPr>
              <w:t>Ctrl+Q</w:t>
            </w:r>
          </w:p>
        </w:tc>
        <w:tc>
          <w:tcPr>
            <w:tcW w:type="dxa" w:w="6803"/>
          </w:tcPr>
          <w:p>
            <w:pPr>
              <w:spacing w:after="20"/>
            </w:pPr>
            <w:r/>
            <w:r>
              <w:rPr>
                <w:sz w:val="19"/>
              </w:rPr>
              <w:t>Quit</w:t>
            </w:r>
          </w:p>
        </w:tc>
      </w:tr>
    </w:tbl>
    <w:p>
      <w:pPr>
        <w:spacing w:after="40"/>
      </w:pPr>
    </w:p>
    <w:p>
      <w:pPr>
        <w:pStyle w:val="Heading1"/>
      </w:pPr>
      <w:r>
        <w:t>16. Accuracy and sources</w:t>
      </w:r>
    </w:p>
    <w:p>
      <w:r>
        <w:t xml:space="preserve">All formulas are standard literature conventions with known caveats — mass basis, IR-drop handling, the heat-of-fusion reference value, b-value and Dunn's-method limitations. </w:t>
      </w:r>
      <w:r>
        <w:rPr>
          <w:rFonts w:ascii="Consolas" w:hAnsi="Consolas"/>
          <w:sz w:val="19"/>
        </w:rPr>
        <w:t>docs/EQUATIONS.md</w:t>
      </w:r>
      <w:r>
        <w:t xml:space="preserve"> in the application folder lists every formula, its source and its assumptions, and every result's </w:t>
      </w:r>
      <w:r>
        <w:rPr>
          <w:b/>
        </w:rPr>
        <w:t>ⓘ Formula &amp; source</w:t>
      </w:r>
      <w:r>
        <w:t xml:space="preserve"> link shows the same one click away. The application cannot decide for you which convention is right for your system.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7. The built-in How to use page.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03999" cy="368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8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A7280"/>
          <w:sz w:val="18"/>
        </w:rPr>
        <w:t>Figure 8. The About page.</w:t>
      </w:r>
    </w:p>
    <w:p>
      <w:pPr>
        <w:pStyle w:val="Heading1"/>
      </w:pPr>
      <w:r>
        <w:t>What's new in version 2.1.0</w:t>
      </w:r>
    </w:p>
    <w:p>
      <w:r>
        <w:t>Changes after independent science, code and usability reviews; docs/REVIEW_LOG.md lists every finding and what was done.</w:t>
      </w:r>
    </w:p>
    <w:p>
      <w:pPr>
        <w:pStyle w:val="ListBullet"/>
      </w:pPr>
      <w:r>
        <w:rPr>
          <w:b/>
        </w:rPr>
        <w:t>GCD</w:t>
      </w:r>
      <w:r>
        <w:t xml:space="preserve"> — the integral formula now measures V from the end-of-discharge voltage, so it agrees with the linear formula for any window; the IR drop is excluded from ΔV and Δt.</w:t>
      </w:r>
    </w:p>
    <w:p>
      <w:pPr>
        <w:pStyle w:val="ListBullet"/>
      </w:pPr>
      <w:r>
        <w:rPr>
          <w:b/>
        </w:rPr>
        <w:t>Cycling</w:t>
      </w:r>
      <w:r>
        <w:t xml:space="preserve"> — coulombic efficiency is computed from charge (Q) when the file has a current column; retention can be relative to the mean of the first N cycles.</w:t>
      </w:r>
    </w:p>
    <w:p>
      <w:pPr>
        <w:pStyle w:val="ListBullet"/>
      </w:pPr>
      <w:r>
        <w:rPr>
          <w:b/>
        </w:rPr>
        <w:t>CV</w:t>
      </w:r>
      <w:r>
        <w:t xml:space="preserve"> — a warning appears when the selected rows contain more than one cycle (their charge would add up).</w:t>
      </w:r>
    </w:p>
    <w:p>
      <w:pPr>
        <w:pStyle w:val="ListBullet"/>
      </w:pPr>
      <w:r>
        <w:rPr>
          <w:b/>
        </w:rPr>
        <w:t>EIS fitting</w:t>
      </w:r>
      <w:r>
        <w:t xml:space="preserve"> — points are weighted by their relative error, the classic Randles circuit Rs + Cdl‖(Rct+W) was added, capacitances above 10 F are allowed, and interchangeable stages are reported fastest first.</w:t>
      </w:r>
    </w:p>
    <w:p>
      <w:pPr>
        <w:pStyle w:val="ListBullet"/>
      </w:pPr>
      <w:r>
        <w:rPr>
          <w:b/>
        </w:rPr>
        <w:t>Kramers–Kronig</w:t>
      </w:r>
      <w:r>
        <w:t xml:space="preserve"> — a series capacitor and inductor are included, so a valid supercapacitor spectrum with its capacitive tail passes; smooth drift is flagged.</w:t>
      </w:r>
    </w:p>
    <w:p>
      <w:pPr>
        <w:pStyle w:val="ListBullet"/>
      </w:pPr>
      <w:r>
        <w:rPr>
          <w:b/>
        </w:rPr>
        <w:t>DRT</w:t>
      </w:r>
      <w:r>
        <w:t xml:space="preserve"> — λ can be chosen from the data by real/imaginary cross-validation.</w:t>
      </w:r>
    </w:p>
    <w:p>
      <w:pPr>
        <w:pStyle w:val="ListBullet"/>
      </w:pPr>
      <w:r>
        <w:rPr>
          <w:b/>
        </w:rPr>
        <w:t>DSC</w:t>
      </w:r>
      <w:r>
        <w:t xml:space="preserve"> — the heat-flow unit is read from the header (W, mW, µW, W/g, mW/mg); overlapping peaks in one window are reported separately; graphs use temperature when the X axis is temperature.</w:t>
      </w:r>
    </w:p>
    <w:p>
      <w:pPr>
        <w:pStyle w:val="ListBullet"/>
      </w:pPr>
      <w:r>
        <w:rPr>
          <w:b/>
        </w:rPr>
        <w:t>Reliability</w:t>
      </w:r>
      <w:r>
        <w:t xml:space="preserve"> — loading a file clears the previous result; a fit still running on old data is discarded; closing the window during a fit no longer crashes.</w:t>
      </w:r>
    </w:p>
    <w:sectPr w:rsidR="00FC693F" w:rsidRPr="0006063C" w:rsidSect="00034616">
      <w:footerReference w:type="default" r:id="rId18"/>
      <w:headerReference w:type="default" r:id="rId19"/>
      <w:headerReference w:type="first" r:id="rId20"/>
      <w:footerReference w:type="first" r:id="rId21"/>
      <w:headerReference w:type="even" r:id="rId22"/>
      <w:footerReference w:type="even" r:id="rId23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A7280"/>
        <w:sz w:val="17"/>
      </w:rPr>
      <w:t xml:space="preserve">Supercapacitor &amp; DSC Analysis Suite 2.1.0 — user guide   ·   page </w:t>
    </w:r>
    <w:r>
      <w:rPr>
        <w:color w:val="6A7280"/>
        <w:sz w:val="17"/>
      </w:rPr>
      <w:fldChar w:fldCharType="begin"/>
    </w:r>
    <w:r>
      <w:rPr>
        <w:color w:val="6A7280"/>
        <w:sz w:val="17"/>
      </w:rPr>
      <w:instrText xml:space="preserve">PAGE</w:instrText>
    </w:r>
    <w:r>
      <w:rPr>
        <w:color w:val="6A7280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 w:cs="Calibri"/>
      <w:color w:val="1B1F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i w:val="0"/>
      <w:color w:val="0072B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="Calibri" w:hAnsi="Calibri" w:eastAsia="Calibri" w:cs="Calibri"/>
      <w:b/>
      <w:bCs/>
      <w:i w:val="0"/>
      <w:color w:val="0072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="Calibri" w:hAnsi="Calibri" w:eastAsia="Calibri" w:cs="Calibri"/>
      <w:b/>
      <w:bCs/>
      <w:i w:val="0"/>
      <w:color w:val="1B1F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footer" Target="footer1.xml"/><Relationship Id="rId19" Type="http://schemas.openxmlformats.org/officeDocument/2006/relationships/header" Target="header1.xml"/><Relationship Id="rId20" Type="http://schemas.openxmlformats.org/officeDocument/2006/relationships/header" Target="header2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