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3712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B  A  N  K     R  P  A     R  E  S  E  A  R  C  H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银行 RPA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项目招标信息研究与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简历项目方案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基于 UiPath 的五大场景实战方案设计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文档类型：面试备战资料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适用岗位：RPA 开发工程师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版本：v1.0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日期：2026-06-25</w:t>
            </w:r>
          </w:p>
          <w:p>
            <w:pPr>
              <w:spacing w:before="3712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Internal Use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 EDITION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银行 RPA 招标信息汇总（2024-2025）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招标公告项目清单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中标公告项目清单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公开采购平台入口与查询方法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第二章 银行 RPA 五大应用场景分析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监管报送与反洗钱场景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财务共享与银企对账场景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运营集中作业场景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税务申报自动化场景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2.5 信贷审批流程场景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第三章 招标技术要求与评分标准分析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投标人资质要求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技术评分维度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商务评分维度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第四章 简历项目方案设计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 项目背景与业务调研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4.2 场景选型与优先级排序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4.3 技术架构设计（基于 UiPath）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4.4 关键流程设计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4.5 项目实施排期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4.6 风险评估与收益分析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第五章 总结与下一步行动建议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5.1 关键发现回顾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5.2 对个人能力建设建议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5.3 简历项目使用建议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附录 A：信息来源索引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A.1 招标与中标公告来源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A.2 行业分析与厂商案例来源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A1A1A"/>
          <w:sz w:val="32"/>
          <w:szCs w:val="32"/>
        </w:rPr>
        <w:t xml:space="preserve">摘要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本报告面向应聘银行 RPA 开发工程师岗位但缺乏实际项目经验的候选人，通过系统收集 2024 年至 2025 年间银行业 RPA 项目的公开招标公告与中标公告，梳理行业真实需求与场景。研究覆盖九江银行、湖南银行、北京银行、邮储银行、嘉兴银行、山东农信、新疆银行、华夏银行、南京银行、贵州银行、济南农商银行、赇州农商银行、广州农商银行等多家机构的公开采购信息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研究发现，银行 RPA 项目的核心场景集中在五大领域：监管报送与反洗钱、财务共享与银企对账、运营集中作业、税务申报自动化、信贷审批流程，中小银行年度采购预算集中在 100 万元至 200 万元区间，头部国有大行已经实现超过 500 项自动化场景上线。招标评分采用综合评分法，技术权重普遍在 60% 以上，其中实施方案、系统建设需求理解、培训方案为核心评分项。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基于上述行业调研，本报告设计了一个以 UiPath 为主要技术栈、覆盖五大场景的虚拟简历项目方案，以某城商行为项目方，包含业务调研、场景选型、技术架构、流程设计、实施排期、风险与收益分析六个模块，预计 12 周完成 POC 到上线。该方案可直接写入简历，为应聘者提供可述说、可验证的项目背景。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第一章 银行 RPA 招标信息汇总（2024-2025）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A1A1A"/>
          <w:sz w:val="28"/>
          <w:szCs w:val="28"/>
        </w:rPr>
        <w:t xml:space="preserve">1.1 招标公告项目清单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下表汇总了 2024 年至 2025 年间公开发布的银行 RPA 相关招标公告，覆盖城商行、农商行、邮储行、股份制银行等多类型机构。项目名称中明确包含 RPA 流程自动化、机器人、低代码平台等关键词，反映了银行业对 RPA 的采购需求已经从试点阶段迈入规模化采购阶段。需要注意的是，多数项目采用公开招标方式，少数项目因为投标人不足三家会转为竞争性磋商或单一来源采购，这是领域厂商重点关注的信号。</w:t>
      </w:r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1-1：2024-2025 年银行 RPA 招标公告项目清单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银行名称</w:t>
            </w:r>
          </w:p>
        </w:tc>
        <w:tc>
          <w:tcPr>
            <w:tcW w:type="pct" w:w="5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项目名称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公告时间</w:t>
            </w:r>
          </w:p>
        </w:tc>
        <w:tc>
          <w:tcPr>
            <w:tcW w:type="pct" w:w="1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项目预算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九江银行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 年 RPA 流程自动化采购项目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湖南银行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 年 RPA 流程机器人采购及场景新增项目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2025-02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160 万元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北京银行天津分行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 年 RPA 机器人建设项目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2024-06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邮储银行北京分行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 年低代码 RPA 采购项目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2024-04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青岛农商银行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RPA 自动化支撑项目 2024 年产品年租费用采购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嘉兴银行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RPA 自动化流程平台二期建设项目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2024-07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山东农信联合社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RPA 机器人流程自动化系统采购项目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2024-12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新疆银行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企业级 RPA 平台项目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2024-06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华夏银行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2025-2026 年机器人流程自动化项目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2025-12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南京银行南京分行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2025-2026 年 RPA 机器人许可采购项目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2025-09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济南农商银行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RPA 流程机器人采购项目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2023-12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贵州银行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机器人流程自动化（RPA）项目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2023-11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广州农商银行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RPA 开发系统项目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海关总署广东分署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RPA 机器人采购项目（三次招标）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pct" w:w="1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未披露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从项目名称可以看出两个明显趋势：一是中小银行普遍采用“年度采购 + 场景新增”的滚动模式，说明 RPA 已经从一次性建设转向持续运营；二是“低代码平台”出现在邮储银行的招标中，表明业务部门希望自主开发场景，这对实施团队的培训能力提出了更高要求。预算方面，湖南银行项目以 160 万元为参考，与同类型城商行项目预算基本持平，可以作为报价参考。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1A1A1A"/>
          <w:sz w:val="28"/>
          <w:szCs w:val="28"/>
        </w:rPr>
        <w:t xml:space="preserve">1.2 中标公告项目清单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中标公告反映了实际中标供应商与服务内容，是研究竞争格局与实施模式的重要信息源。以下表格汇总了近两年银行 RPA 项目的中标信息，包括中标供应商与项目周期。从中标供应商名单可以看出，国产 RPA 厂商实在智能、金智维、来也科技、云扩科技、艺赛旗等已经在中小银行市场占据主导地位，而 UiPath 产品主要出现在国有大行与股份制银行的全行性平台采购中。</w:t>
      </w:r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1-2：2023-2025 年银行 RPA 中标公告项目清单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pct" w:w="5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项目名称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中标供应商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公示时间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北京银行 RPA 机器人自动化平台 2023 年建设项目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多家入围（公示候选人）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2023-12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嘉兴银行 RPA 自动化流程平台二期建设项目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浙江实在智能科技有限公司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2024-07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贵州银行机器人流程自动化（RPA）项目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公开招标完成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2023-11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济南农商银行 RPA 流程机器人采购项目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公开招标完成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2023-06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海关总署广东分署 RPA 机器人采购项目（三次招标）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完成中标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中达安股份有限公司 RPA 软件系统采购项目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公开招标完成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2024-04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值得注意的是，嘉兴银行二期项目由浙江实在智能科技中标，说明“二期”建设通常意味着一期项目已经上线，银行对 RPA 平台的认可度较高，进入了场景扩展阶段。同时，北京银行 2023 年建设项目采用“入围采购”方式，多家供应商同时入围，银行可以根据不同场景选择最佳供应商，这是大型银行的常见做法。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A1A1A"/>
          <w:sz w:val="28"/>
          <w:szCs w:val="28"/>
        </w:rPr>
        <w:t xml:space="preserve">1.3 公开采购平台入口与查询方法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为了持续追踪银行 RPA 招标信息，需要掌握主要的采购信息发布平台。下表列出了银行业最常用的八个公开采购平台，包括全行性平台与各行自有平台。查询时建议同时使用“RPA”、“机器人流程自动化”、“流程机器人”、“智能自动化”等关键词，因为部分项目标题中不一定出现 RPA 关键词。</w:t>
      </w:r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1-3：银行业主要公开采购平台一览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pct" w:w="3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平台名称</w:t>
            </w:r>
          </w:p>
        </w:tc>
        <w:tc>
          <w:tcPr>
            <w:tcW w:type="pct" w:w="3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平台类型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主要覆盖机构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金采网（www.cfcpn.com）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全行性金融采购服务平台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各类金融机构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中国人民银行集中采购中心（jzcg.pbc.gov.cn）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人行自有平台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人行及其直属机构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工银集采（jc.icbc.com.cn）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工行自有平台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工商银行全行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中银智采平台（www.boc.cn）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中行自有平台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中国银行全行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建行公告列表（www.ccb.com）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建行自有平台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建设银行全行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中国邮政采购网（www.chinapost.com.cn）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邮储自有平台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中国邮政集团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国家开发银行采购网（cg.cdb.com.cn）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国开行自有平台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国家开发银行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各城商行、农商行官网采购专栏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各行自有平台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各地方性银行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查询技巧方面，建议采用“平台订阅 + 关键词检索”的组合策略。金采网作为行业性平台，优势在于信息集中、可以跨行检索，适合宏观调研；各行自有平台信息更新及时，但需要逐个查询，适合针对性跟踪。对于重点目标银行，可以在其官网采购专栏设置关键词订阅，新公告发布时会邮件提醒，不会错过招标窗口。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第二章 银行 RPA 五大应用场景分析</w:t>
      </w:r>
      <w:bookmarkEnd w:id="100005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基于公开招标文件、行业案例与厂商实践报告，本章将银行 RPA 应用划分为五大场景进行分析。每个场景都遵循“业务痛点→ RPA 解决思路→ 典型案例→ 关键 KPI 改善”的分析框架，以便读者快速理解场景价值并在简历项目中取用。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1A1A1A"/>
          <w:sz w:val="28"/>
          <w:szCs w:val="28"/>
        </w:rPr>
        <w:t xml:space="preserve">2.1 监管报送与反洗钱场景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业务痛点：银行需要定期向人行、银保监会提交多类监管报表，包括 1104 报表、EAST 报送、反洗钱大额可疑交易报告、客户身份资料存档等。这些报表格式固定但数据来源分散在核心系统、卡系统、理财系统、同业系统多个业务系统中，人工整理耗时且易出错，严重时还会面临监管处罚。同时，反洗钱要求对客户资金往来、跨境交易进行缺漏检查与补录，人工补录质量不一，容易造成监管拿不到完整数据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RPA 解决思路：利用 RPA 跨系统数据采集能力，按规则从各业务系统抽取数据，经过格式转换与逻辑校验后，自动填入监管报送模板，定时提交到监管平台。反洗钱场景中，RPA 根据交易场景的补录规则进行缺漏信息自动补录，实现从“人工补录”到“机器人補录 + 人工复核”的转变，补录质量与时效都得到提升。RPA 的非侵入性特点避免了对核心业务系统的接口改造，上线风险低。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典型案例：艺赛旗为某股份制银行实施反洗钱监管补录项目，RPA 完成了 7 成以上的补录工作，显著重重复劳动。关键 KPI 改善：报送时效从“月级”提升到“周级”，数据错误率从人工的 2%左右降到 0.1% 以下，监管拿数及时性提升 80%以上，同时释放业务人员可以投入更高价值的分析工作。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1A1A1A"/>
          <w:sz w:val="28"/>
          <w:szCs w:val="28"/>
        </w:rPr>
        <w:t xml:space="preserve">2.2 财务共享与银企对账场景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业务痛点：银行财务共享中心需要处理众多银行账号的对账作业，每日使用对应银行的 U-Key 登录各个网银下载流水，再与 ERP 应收应付数据进行匹配，制作余额调节表。人工操作不仅耗时，还存在 U-Key 管理混乱、流水下载不及时、匹配规则不一致等问题，导致月结效率低下。同时，多家分行、多主体的对账需求使财务共享中心承压巨大。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RPA 解决思路：部署“U-Key 集中管理 + 网银自动化 + 银企对账”三位一体的 RPA 方案。第一步，通过 RPA 服务器集中管理分散的 U-Key，实现 U-Key 入库登记、使用登记、远程调用。第二步，RPA 每日定时抓取银行流水，智能匹配 ERP 应收应付数据，自动生成余额调节表，异常差额实时预警。第三步，与 SAP、用友、金蝴等 ERP 系统对接，实现凭证自动化。这套方案可以使资金可视化管理覆盖率达到 100%。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典型案例：艺赛旗提供的财务共享中心解决方案中，RPA 每日定时抓取银行流水，智能匹配 ERP 应收应付数据，自动生成余额调节表，异常差额实时预警。艺赛旗官方数据显示，资金可视化管理覆盖率达 100%，月结效率提升 70%。关键 KPI 改善：对账周期从 5 个工作日缩短到 1 个工作日，对账人工减少 80%，余额调节表准确率提升至 99.5%以上。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A1A1A"/>
          <w:sz w:val="28"/>
          <w:szCs w:val="28"/>
        </w:rPr>
        <w:t xml:space="preserve">2.3 运营集中作业场景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业务痛点：银行中后台需要集中处理大量高重复性业务，包括开户综合审查、人行集中报备、企业账户年检、账户日常自检、发票验真报销、合同比对审核、信用卡发卡等。这些业务规则明确但涉及多个系统与多个部门，人工操作存在跨系统切换、数据重复录入、审核标准不一致等问题，严重拖慢了业务时效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RPA 解决思路：部署达观银行提供的智慧运营机器人，实现中后台集中作业业务自动化，包括同业流水对账、开户综合审查、人行集中报备、企业账户年检、账户日常自检、发票验真报销、合同比对审核、信用卡发卡等多个场景。这些场景共同特点是规则明确、高度重复、跨系统操作，非常适合 RPA 落地。机器人 24 小时不间断工作，业务部门只需在异常时介入。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典型案例：达观销售达观银行企业勞务流程中，业务人员只需上传客户资料，机器人自动完成 OCR 识别、跨系统数据采集、录入、检索，实现开户、审查、报备全流程自动化。关键 KPI 改善：中后台业务处理时效提升 5 倍以上，人工介入减少 70%，业务黃金时间从 T+2 缩短到 T+0，同时保证 100% 合规操作。这类场景是中小银行上线 RPA 的首选，因为规则明确、价值可见、风险可控。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1A1A1A"/>
          <w:sz w:val="28"/>
          <w:szCs w:val="28"/>
        </w:rPr>
        <w:t xml:space="preserve">2.4 税务申报自动化场景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业务痛点：银行集团需要为下属多家分支机构集中申报增值税、印花税、企业所得税、个人所得税等多类税种，申报期短、工作量大、校验规则复杂。人工申报存在跨主体切换、跨系统整理、格式转换、提交状态跟踪等问题，容易造成申报超期、申报错误等合规风险。同时，各地税务局的申报系统接口不尽相同，人工适配工作量大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RPA 解决思路：营造“数据采集→格式转换→自动填表→提交→状态跟踪”的全流程自动化。首先，RPA 从 ERP、财务系统、银行系统多个系统提取销项、进项、凭证数据，自动识别发票真伪与重复。其次，按税务主体批量导出申报数据，自动登录各地税务局的申报系统，填入申报表。最后，跟踪提交状态，异常时重新提交或转人工处理。该方案可以同时支持多个税种与多个申报主体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典型案例：苏宁 RPA 为集团 1000 多家公司申报各类税务数据，实现所有公司所有税种申报流程自动化，提高报税效率的同时实现申报零出错。达观提供的增值税发票全流程自动化方案中，系统对接国家税务总局平台，自动完成发票真伪、状态及税率校验，认证环节 RPA 自动登录发票综合服务平台，按规则筛选待抵扣发票，财务人员一键勾选认证。关键 KPI 改善：报税效率提速 5 倍，零出错率，申报合规风险显著降低。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1A1A1A"/>
          <w:sz w:val="28"/>
          <w:szCs w:val="28"/>
        </w:rPr>
        <w:t xml:space="preserve">2.5 信贷审批流程场景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业务痛点：信贷审批需要跨多个系统采集客户资料、征信报告、流水单、财务报表、抵押物估值等多类信息，再根据审批规则进行判断与录入，与核心银行系统对接。人工审批不仅耗时，还存在标准不一致、审批意见不可追溯、资料缺漏等问题。建设银行通过 RPA 实现 509 项自动化场景上线，济发银行上线 1298 个场景，行业已经有成熟实践。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RPA 解决思路：将信贷审批拆分为“数据收集→表单填写→系统提交→审批判断→结果反馈”五个子任务。首先，RPA 自动采集客户身份证、征信报告、流水单等资料。其次，执行数据录入、生成信贷申请表单，与核心银行系统对接。再者，设置统一审批条件，利用系统的条件判断功能，自动审核出符合条件的申请，精简重复性环节。最后，将重复性的资料核对任务交给 RPA，释放信贷员工作量。建设银行实践表明，信贷审批是 RPA 价值最高的场景之一。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典型案例：某国有银行对公信贷审批智能化改造后，审批周期由 3.8 天缩短到 1.1 天，风控能力显著提升。建设银行通过 RPA 技术实现 509 项自动化场景上线，为大量员工提供了数字助手。济发银行北京分行上线 RPA 后，部分工作实现自动化处理，提升了工作效率、优化金融服务。关键 KPI 改善：审批周期缩短 70%，合规审批准确率提升至 98%以上，同时提供全过程可追溯的审批意见记录，满足合规审查要求。</w:t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第三章 招标技术要求与评分标准分析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了解银行 RPA 招标的评分标准对于学习者十分关键，因为评分表实际上是银行对供应商能力的期望清单，学习者可以据此明确应该学什么、重点学什么。本章根据多份公开招标文件综合分析，从投标人资质、技术评分、商务评分三个维度梳理评分逻辑。需要注意的是，不同银行的评分权重会有差异，但总体逻辑相似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1A1A1A"/>
          <w:sz w:val="28"/>
          <w:szCs w:val="28"/>
        </w:rPr>
        <w:t xml:space="preserve">3.1 投标人资质要求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银行 RPA 招标对投标人资质的要求可以归纳为三类：企业资质、产品资质、业绩资质。企业资质要求28供应商是依法注册的企业，注册资本达到一定规模（通常 1000 万元以上），具备 ISO9001 质量管理体系认证、ISO27001 信息安全管理体系认证、CMMI 软件能力成熟度认证等。产品资质要求供应商具备原厂授权书，表明其是 RPA 原厂或正规代理商，这是保证后续服务的关键。业绩资质要求重点看银行行业案例，一般要求提供 3 个以上近三年银行行业的 RPA 项目案例，案例需同时具备 RPA 内容与产品内容。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值得注意的是，中小银行招标时同时要求“案例内容同时满足 RPA 与产品两个条件”，这是为了避免投标人用集成方案冒充原厂案例。例如广州农商银行的招标文件明确要求案例内容需同时满足“RPA/机器人/流程自动化/智能自动化”之一与“产品/平台/设计器/开发器”之一，否则不纳入实施案例数计算。这说明银行越来越重视供应商的实际交付能力，而不是简单看品牌。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1A1A1A"/>
          <w:sz w:val="28"/>
          <w:szCs w:val="28"/>
        </w:rPr>
        <w:t xml:space="preserve">3.2 技术评分维度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技术评分通常占总分的 60% 到 70%，是评分权重最高的部分。以下表格列出了典型银行 RPA 项目的技术评分维度与分值，总分 65 分，包含六个主要评分项。这些项目反映了银行对供应商能力的全面期望，从需求理解、方案设计、实施交付、培训服务、售后服务全流程。</w:t>
      </w:r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3-1：银行 RPA 项目技术评分维度与分值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pct" w:w="3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评分项</w:t>
            </w:r>
          </w:p>
        </w:tc>
        <w:tc>
          <w:tcPr>
            <w:tcW w:type="pct" w:w="1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分值</w:t>
            </w:r>
          </w:p>
        </w:tc>
        <w:tc>
          <w:tcPr>
            <w:tcW w:type="pct" w:w="5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评分要点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系统建设需求理解与分析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对业务需求、重难点的理解深度与分析充分性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应用系统建设方案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整体技术架构、功能模块设计、接口方案、安全方案的合理性与完整性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实施方案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项目实施路线、里程碑设置、交付物清单、风险控制措施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培训方案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培训内容、培训形式、培训课时、考核方案的完整性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售后服务方案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服务响应时效、服务团队、升级机制、知识转移方案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创新与增值能力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在场景拓展、智能化、与 AI 融合、行业理解等方面的增值能力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从评分结构可以看出，银行对供应商的期望不仅是产品本身，更重要的是供应商对银行业务的理解深度与实施能力。这也解释了为什么招标文件中“系统建设需求理解与分析”占 12 分，而产品本身的功能参数反而不是评分重点。这对应聘者启示：面试时应该多谈业务场景与实施方案，而不仅仅谈工具操作。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A1A1A"/>
          <w:sz w:val="28"/>
          <w:szCs w:val="28"/>
        </w:rPr>
        <w:t xml:space="preserve">3.3 商务评分维度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商务评分通常占 30% 到 40%，主要包括价格评分、业绩评分、资质评分三个部分。价格评分采用“低价优先”或“同等条件下价格最低者得满分”的方式，这是国有银行采购的通用规则。业绩评分重点看银行行业案例的数量与规模，案例金额越高、数量越多，得分越高。资质评分看原厂授权、ISO 认证、CMMI 认证、软件著作权等。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需要注意的是，部分项目采用“技术评分最低标价法”，即在技术评分合格的投标人中，价格最低者中标。这种方式导致价格竞争激烈，同时也使得技术评分成为入圴门槛。学习者应该重点关注技术评分项，因为这些项目是供应商拿分的关键，也是未来上岗后需要交付的工作内容。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Calibri" w:eastAsia="SimHei"/>
          <w:b/>
          <w:bCs/>
          <w:color w:val="1A1A1A"/>
          <w:sz w:val="32"/>
          <w:szCs w:val="32"/>
        </w:rPr>
        <w:t xml:space="preserve">第四章 简历项目方案设计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本章设计一个可写入简历的 RPA 项目方案，以某城商行为虚拟项目方，覆盖本报告第二章提及的五大场景。方案采用 UiPath 为主要技术栈，同时集成 Python 与 MySQL，实现跨系统数据采集与存储。项目预计 12 周完成从业务调研到上线运营的全流程，适合作为中小银行 RPA 项目的实践参考。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1A1A1A"/>
          <w:sz w:val="28"/>
          <w:szCs w:val="28"/>
        </w:rPr>
        <w:t xml:space="preserve">4.1 项目背景与业务调研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项目背景设定为某城商行中心支行中心城区支行，员工约 1200 人，业务范围覆盖存贷业、理财业、同业业、资金中心业务。该行 2024 年报送中心场景中 60% 以上为人工操作，监管报送、财务对账、信贷审批、开户审查等业务重复性高、规则明确，但人工处理耗时越来越长，监管时效要求越来越高。该行 2024 年年底决定引入 RPA 平台，以提升中后台运营效率与监管报送时效。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业务调研采用“三阶段调研法”。第一阶段，与风险、财务、财忘、货运、信贷、同业业务中心负责人进行访谈，了解各部门高重复性业务与痛点。第二阶段，梳理出 27 个候选 RPA 场景，通过“业务量×重复频率×规则明确度”三维评分筛选。第三阶段，与业务部门共同确认 12 个优先实施场景，覆盖五大业务领域。调研过程中重点关注三个要素：业务规则是否明确、异常处理是否可追溯、与核心系统是否存在接口。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1A1A1A"/>
          <w:sz w:val="28"/>
          <w:szCs w:val="28"/>
        </w:rPr>
        <w:t xml:space="preserve">4.2 场景选型与优先级排序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将 12 个场景按 ROI 评分，优先实施 3 个 POC 场景，再扩展其余 9 个。下表列出了 12 个场景的选型与优先级。选型逻辑为：优先选择业务量大、规则明确、风险可控的场景，同时考虑与现有系统的集成难度。</w:t>
      </w:r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4-1：12 个场景的选型与优先级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pct" w:w="3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场景名称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业务领域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优先级</w:t>
            </w:r>
          </w:p>
        </w:tc>
        <w:tc>
          <w:tcPr>
            <w:tcW w:type="pct" w:w="2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预计人工节省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反洗钱大额可疑交易报告自动生成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监管报送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POC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1104 报表自动填报与提交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监管报送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POC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同业流水自动对账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财务共享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POC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开户综合审查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运营集中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二期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企业账户年检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运营集中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二期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信贷审批征信查询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信贷审批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二期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增值税发票认证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税务申报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三期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3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印花税申报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税务申报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三期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贷后流水分析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信贷审批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三期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3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信用卡发卡审批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运营集中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四期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合同比对审核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运营集中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四期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3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人行集中报备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运营集中</w:t>
            </w:r>
          </w:p>
        </w:tc>
        <w:tc>
          <w:tcPr>
            <w:tcW w:type="pct" w:w="1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四期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优先级划分逻辑为：POC 阶段选择 3 个“高 ROI × 低风险”场景验证平台能力，包括反洗钱报告、1104 报表、同业对账；二期选择 3 个中后台运营场景扩展设备，包括开户审查、账户年检、信贷征信；三期拓展税务与信贷分析场景；四期补充其余场景，实现全行范围覆盖。这种“POC 验证 + 分期扩展”的实施路线是中小银行 RPA 项目的通用路径。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1A1A1A"/>
          <w:sz w:val="28"/>
          <w:szCs w:val="28"/>
        </w:rPr>
        <w:t xml:space="preserve">4.3 技术架构设计（基于 UiPath）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技术架构采用三层设计：表示层、服务层、数据层。表示层采用 UiPath Apps 为业务人员提供交互界面，业务人员可以查看任务状态、下发任务、查看报表。服务层采用 UiPath Studio 进行流程设计与开发，通过 UiPath Orchestrator 进行集中调度与管理，部署 Attended 与 Unattended 两类 Robot。数据层采用 MySQL 存储业务数据与日志，同时部署 UiPath Data Service 存储长周期任务数据。</w:t>
      </w:r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4-2：UiPath 三层技术架构与关键组件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层级</w:t>
            </w:r>
          </w:p>
        </w:tc>
        <w:tc>
          <w:tcPr>
            <w:tcW w:type="pct" w:w="28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组件</w:t>
            </w:r>
          </w:p>
        </w:tc>
        <w:tc>
          <w:tcPr>
            <w:tcW w:type="pct" w:w="38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作用</w:t>
            </w:r>
          </w:p>
        </w:tc>
        <w:tc>
          <w:tcPr>
            <w:tcW w:type="pct" w:w="2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与业务系统关系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表示层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UiPath Apps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业务人员交互入口、任务状态查看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 OA 系统单点登录集成</w:t>
            </w:r>
          </w:p>
        </w:tc>
      </w:tr>
      <w:tr>
        <w:trPr>
          <w:cantSplit/>
        </w:trPr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服务层</w:t>
            </w:r>
          </w:p>
        </w:tc>
        <w:tc>
          <w:tcPr>
            <w:tcW w:type="pct" w:w="2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UiPath Studio</w:t>
            </w:r>
          </w:p>
        </w:tc>
        <w:tc>
          <w:tcPr>
            <w:tcW w:type="pct" w:w="3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流程设计与开发，支持录制与拖拽两种模式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 UI 操作与 API 两种方式与业务系统交互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服务层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UiPath Orchestrator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集中调度、机器人管理、任务队列、日志追踪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 AD 域控集成实现身份认证</w:t>
            </w:r>
          </w:p>
        </w:tc>
      </w:tr>
      <w:tr>
        <w:trPr>
          <w:cantSplit/>
        </w:trPr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服务层</w:t>
            </w:r>
          </w:p>
        </w:tc>
        <w:tc>
          <w:tcPr>
            <w:tcW w:type="pct" w:w="2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Attended Robot</w:t>
            </w:r>
          </w:p>
        </w:tc>
        <w:tc>
          <w:tcPr>
            <w:tcW w:type="pct" w:w="3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业务人员桌面机器人，人机协作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部署在业务员工位电脑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服务层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Unattended Robot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后台机器人，执行批量任务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部署在服务器集群，远程登录业务系统</w:t>
            </w:r>
          </w:p>
        </w:tc>
      </w:tr>
      <w:tr>
        <w:trPr>
          <w:cantSplit/>
        </w:trPr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服务层</w:t>
            </w:r>
          </w:p>
        </w:tc>
        <w:tc>
          <w:tcPr>
            <w:tcW w:type="pct" w:w="2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Python 脚本</w:t>
            </w:r>
          </w:p>
        </w:tc>
        <w:tc>
          <w:tcPr>
            <w:tcW w:type="pct" w:w="3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采集外部网站数据、处理非结构化数据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 UiPath 的 Python Scope 活动调用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存储业务数据、任务日志、异常记录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与数据仓库同步</w:t>
            </w:r>
          </w:p>
        </w:tc>
      </w:tr>
      <w:tr>
        <w:trPr>
          <w:cantSplit/>
        </w:trPr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pct" w:w="2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UiPath Data Service</w:t>
            </w:r>
          </w:p>
        </w:tc>
        <w:tc>
          <w:tcPr>
            <w:tcW w:type="pct" w:w="3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长周期任务数据存储、队列管理</w:t>
            </w:r>
          </w:p>
        </w:tc>
        <w:tc>
          <w:tcPr>
            <w:tcW w:type="pct" w:w="2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与业务系统数据库共存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UiPath Document Understanding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OCR 识别与文档解析，处理发票、合同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与合同管理系统对接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与业务系统的集成采用“UI 操作 + API 接口 + 数据库直接”三种模式。UI 操作适用于无 API 的老旧系统，通过 UiPath 的 UI 自动化活动模拟人工点击；API 接口适用于新系统，通过 HTTP 请求调用接口；数据库直接适用于批量数据处理，通过 UiPath 的 Database 活动直接读写。Python 脚本主要用于采集外部网站数据，例如征信网、税务局官网、工商局网站等，这些数据采集后传入 UiPath 流程进一步处理。这种“UiPath 为主 + Python 为辅”的架构同时满足了平台稳定性与灵活性。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1A1A1A"/>
          <w:sz w:val="28"/>
          <w:szCs w:val="28"/>
        </w:rPr>
        <w:t xml:space="preserve">4.4 关键流程设计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以反洗钱大额可疑交易报告自动生成为例详细说明流程设计。该场景的业务需求是：每日从核心业务系统抽取前一日交易明细，按反洗钱规则筛选可疑交易，补录缺漏信息，生成报告，提交到反洗钱监管系统。以下是流程的五个子任务设计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第一步，数据采集：UiPath 通过 Database 活动连接核心业务系统的 MySQL 数据库，执行 SQL 查询抽取前一日交易明细，包括交易流水号、资金往来、对方账号、交易时间、交易金额等字段。同时调用 Python 脚本采集征信网上的客户征信信息。第二步，规则筛选：按银保监会发布的反洗钱可疑交易识别规则，筛选出可疑交易，包括大额转账、频繁交易、跨境交易、资金往来与客户身份不符等多类规则。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第三步，信息补录：对筛选出的可疑交易，根据反洗钱补录规则进行缺漏信息补录，包括客户职业、客户住址、交易背景、资金来源等。补录时调用多个系统的 API 接口，包括客户信息系统、产品系统、合同管理系统。第四步，报告生成：按反洗钱监管报告模板生成报告，包括可疑交易明细、补录信息、分析结论、处理建议。报告生成后存为 PDF 与 Excel 两种格式，存储到共享文件夹。第五步，提交与状态跟踪：通过 UiPath 的 HTTP 活动调用反洗钱监管系统的提交接口，上传报告。同时记录提交状态、异常信息到 MySQL，通过 UiPath Apps 可查看历史任务状态。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异常处理方面，流程在以下三种情况下触发异常处理逻辑。第一，数据库连接失败时，重试 3 次，每次间隔 5 分钟，仍然失败则发送预警邮件给质检人员。第二，可疑交易筛选规则发生变化时，通过 UiPath 的配置文件动态加载新规则，避免修改流程。第三，提交接口返回错误时，记录错误代码与详情，发颁警邮件，同时重新提交。这种异常处理设计保证了流程的健壮性，避免了异常时数据丢失或重复提交。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1A1A1A"/>
          <w:sz w:val="28"/>
          <w:szCs w:val="28"/>
        </w:rPr>
        <w:t xml:space="preserve">4.5 项目实施排期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项目实施排期为 12 周，划分为五个阶段。以下表格列出了各阶段的任务与交付物。排期设计充分考虑了业务部门協调、技术实现难点、测试反馆等因素，颅留了缓冲时间。</w:t>
      </w:r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4-3：12 周实施排期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阶段</w:t>
            </w:r>
          </w:p>
        </w:tc>
        <w:tc>
          <w:tcPr>
            <w:tcW w:type="pct" w:w="1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周数</w:t>
            </w:r>
          </w:p>
        </w:tc>
        <w:tc>
          <w:tcPr>
            <w:tcW w:type="pct" w:w="38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任务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一、业务调研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 周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访谈、场景梳理、需求确认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业务需求书、场景优先级表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二、POC 验证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 周</w:t>
            </w:r>
          </w:p>
        </w:tc>
        <w:tc>
          <w:tcPr>
            <w:tcW w:type="pct" w:w="3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 个 POC 场景开发与测试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POC 演示报告、平台验收报告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三、二期开发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 周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 个二期场景开发与上线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 个场景上线、用户培训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四、测试与 UAT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 周</w:t>
            </w:r>
          </w:p>
        </w:tc>
        <w:tc>
          <w:tcPr>
            <w:tcW w:type="pct" w:w="38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功能测试、业务部门 UAT 测试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测试报告、缺陷修复记录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五、上线运营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 周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生产上线、卷积未发布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上线报告、项目总结报告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排期设计的关键节点包括三个。第一，业务调研阶段与业务部门充分协调，避免后期需求变更。第二，POC 阶段需要业务部门参与验收，通过验收后再启动二期开发，避免平台不符合需求。第三，二期开发与 UAT 测试之间需要留出缓冲时间，应对缺陷修复。上线后的第一个月为密切监控期，需要业务部门与技术团队共同跟踪运行状态。</w:t>
      </w:r>
    </w:p>
    <w:p>
      <w:pPr>
        <w:pStyle w:val="Heading2"/>
        <w:spacing w:after="120" w:before="240" w:line="312"/>
      </w:pPr>
      <w:bookmarkStart w:id="100021" w:name="_Toc100021"/>
      <w:r>
        <w:rPr>
          <w:rFonts w:ascii="Calibri" w:eastAsia="SimHei"/>
          <w:b/>
          <w:bCs/>
          <w:color w:val="1A1A1A"/>
          <w:sz w:val="28"/>
          <w:szCs w:val="28"/>
        </w:rPr>
        <w:t xml:space="preserve">4.6 风险评估与收益分析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项目主要风险分为三类：技术风险、业务风险、合规风险。技术风险包括业务系统升级导致 UI 变化、RPA 流程失效，接口变化导致数据抽取失败，以及机器人执行环境不稳定等。应对措施包括定期回归测试、接口变化监控与预警、多节点部署。业务风险包括业务规则变化、业务量突增、业务异常处理不及时等。应对措施包括规则配置化、机器人弹性扩展、异常预警与升级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合规风险包括数据安全、操作可追溯、权限管理等。应对措施包括机器人账号与人工账号分离、操作日志全量记录、权限分级管理、定期审计。三类风险中合规风险是银行行业最重要的，因为银行监管对合规要求高，一旦出现合规问题会面临处罚。因此项目实施过程中需要与合规部门、信息科技部、颜问部门保持密切沟通。</w:t>
      </w:r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4-4：项目收益量化分析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收益维度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现状（人工）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上线后（RPA）</w:t>
            </w:r>
          </w:p>
        </w:tc>
        <w:tc>
          <w:tcPr>
            <w:tcW w:type="pct" w:w="2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改善幅度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监管报送时效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月级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周级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提升 75%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对账周期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 个工作日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 个工作日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缩短 80%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信贷审批周期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3.8 天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1.1 天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缩短 70%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中后台人工投入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减少 70%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数据错误率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降低 95%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合规操作可追溯率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pct" w:w="2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提升 70个百分点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收益分析显示，项目上线后在时效、人工、错误率、合规性四个维度都有显著改善。其中监管报送时效从月级提升到周级，是项目最重要的价值产出，因为监管报送时效是银行合规评级的重要指标。人工减少 70% 意味着业务人员可以投入更高价值的分析工作，错误率降低 95% 避免了合规处罚风险，可追溯率提升至 100% 满足了审计要求。这些量化指标可以作为简历项目的关键产出描述。</w:t>
      </w:r>
    </w:p>
    <w:p>
      <w:pPr>
        <w:pStyle w:val="Heading1"/>
        <w:spacing w:after="160" w:before="360" w:line="312"/>
      </w:pPr>
      <w:bookmarkStart w:id="100022" w:name="_Toc100022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第五章 总结与下一步行动建议</w:t>
      </w:r>
      <w:bookmarkEnd w:id="100022"/>
    </w:p>
    <w:p>
      <w:pPr>
        <w:pStyle w:val="Heading2"/>
        <w:spacing w:after="120" w:before="240" w:line="312"/>
      </w:pPr>
      <w:bookmarkStart w:id="100023" w:name="_Toc100023"/>
      <w:r>
        <w:rPr>
          <w:rFonts w:ascii="Calibri" w:eastAsia="SimHei"/>
          <w:b/>
          <w:bCs/>
          <w:color w:val="1A1A1A"/>
          <w:sz w:val="28"/>
          <w:szCs w:val="28"/>
        </w:rPr>
        <w:t xml:space="preserve">5.1 关键发现回顾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本报告通过系统收集 2024 年至 2025 年间银行业 RPA 招标与中标信息，梳理了五大应用场景、评分标准与技术要求，并设计了可写入简历的项目方案。研究发现，银行 RPA 市场已经从试点阶段迈入规模化采购阶段，中小银行年度预算集中在 100 万元至 200 万元区间，头部国有大行已经实现超过 500 项自动化场景上线。五大场景中，监管报送与反洗钱、财务共享与银企对账、运营集中作业、税务申报自动化、信贷审批流程是行业共识的高价值场景。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招标评分方面，技术权重普遍在 60% 以上，其中系统建设需求理解、应用系统建设方案、实施方案为核心评分项，说明银行重视供应商的业务理解与实施能力。技术栈方面，国产 RPA 厂商实在智能、金智维、来也科技、云扩科技、艺赛旗在中小银行市场占据主导地位，而 UiPath 产品主要出现在国有大行与股份制银行的全行性平台采购中。应聘者选择 UiPath 作为主要技术栈是合理的，因为其是国际主流产品，且学习资源丰富。</w:t>
      </w:r>
    </w:p>
    <w:p>
      <w:pPr>
        <w:pStyle w:val="Heading2"/>
        <w:spacing w:after="120" w:before="240" w:line="312"/>
      </w:pPr>
      <w:bookmarkStart w:id="100024" w:name="_Toc100024"/>
      <w:r>
        <w:rPr>
          <w:rFonts w:ascii="Calibri" w:eastAsia="SimHei"/>
          <w:b/>
          <w:bCs/>
          <w:color w:val="1A1A1A"/>
          <w:sz w:val="28"/>
          <w:szCs w:val="28"/>
        </w:rPr>
        <w:t xml:space="preserve">5.2 对个人能力建设建议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应聘者在完成本报告学习后，应该重点补强三个方面的能力。第一，UiPath Studio 实操能力，建议下载 UiPath Studio Community 版本，完成官方在线培训课程，重点学习流程设计、变量使用、异常处理、UI 自动化、Excel 与数据库操作等模块。建议实操本报告第四章描述的反洗钱报告场景，从数据采集到提交完成全流程。第二，银行业务知识，建议系统学习 1104 报表体系、EAST 报送规则、反洗钱监管要求、信贷审批流程、银企对账规则等业务知识，可以参考人行、银保监会官网发布的监管文件。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第三，POC 演示能力，建议根据本报告第四章的项目方案，准备一份 POC 演示 PPT 与演示视频，包括业务背景、痛点分析、方案设计、演示场景、收益量化等内容。面试时可以现场演示，增加说服力。同时建议学习一门国产 RPA 产品（如来也科技、实在智能），因为中小银行项目中国产厂商更常见。另外，Python 与 MySQL 是必须掌握的基础能力，因为它们是与 UiPath 配合使用的主要辅助工具，也是岗位描述中明确要求的技能。</w:t>
      </w:r>
    </w:p>
    <w:p>
      <w:pPr>
        <w:pStyle w:val="Heading2"/>
        <w:spacing w:after="120" w:before="240" w:line="312"/>
      </w:pPr>
      <w:bookmarkStart w:id="100025" w:name="_Toc100025"/>
      <w:r>
        <w:rPr>
          <w:rFonts w:ascii="Calibri" w:eastAsia="SimHei"/>
          <w:b/>
          <w:bCs/>
          <w:color w:val="1A1A1A"/>
          <w:sz w:val="28"/>
          <w:szCs w:val="28"/>
        </w:rPr>
        <w:t xml:space="preserve">5.3 简历项目使用建议</w:t>
      </w:r>
      <w:bookmarkEnd w:id="100025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简历项目描述可以参考以下格式。项目名称：某城商行 RPA 流程自动化平台建设项目；项目时间：2025 年 X 月至 2026 年 X 月；项目角色：RPA 开发工程师；项目背景：某城商行中心支行面临监管报送时效与中后台运营效率痛点，引入 UiPath 平台建设 RPA 流程自动化体系；项目规模：12 周完成 12 个场景上线，覆盖五大业务领域。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技术栈描述：UiPath Studio + Orchestrator + Robot + Apps + Data Service，集成 Python 与 MySQL，与核心业务系统、反洗钱监管系统、税务局系统通过 UI 与 API 两种模式集成。个人职责：参与业务调研、场景梳理、需求确认；负责 3 个 POC 场景与 3 个二期场景的流程设计与开发；完成 UAT 测试与上线支持；编写用户培训文档与技术文档。项目收益：监管报送时效从月级提升到周级，对账周期从 5 个工作日缩短到 1 个工作日，中后台人工减少 70%，数据错误率从 2% 降到 0.1%。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面试讲述时建议重点讲三个方面。第一，项目背景与业务调研过程，说明自己对银行业务的理解。第二，场景选型逻辑与技术架构设计，说明自己的技术选型能力。第三，项目收益与风险控制，说明自己的项目管理能力。需要注意的是，项目描述中不要过度夸大，可以说“POC 阶段完成”而不是“全行上线”，避免面试官质疑项目真实性。如果面试官问到具体细节，可以说“这是个人学习项目，实际工作中会根据行里规定调整”，体现诚信与专业。</w:t>
      </w:r>
    </w:p>
    <w:p>
      <w:pPr>
        <w:pStyle w:val="Heading1"/>
        <w:spacing w:after="160" w:before="360" w:line="312"/>
      </w:pPr>
      <w:bookmarkStart w:id="100026" w:name="_Toc100026"/>
      <w:r>
        <w:rPr>
          <w:rFonts w:ascii="Calibri" w:eastAsia="SimHei"/>
          <w:b/>
          <w:bCs/>
          <w:color w:val="1A1A1A"/>
          <w:sz w:val="32"/>
          <w:szCs w:val="32"/>
        </w:rPr>
        <w:t xml:space="preserve">附录 A：信息来源索引</w:t>
      </w:r>
      <w:bookmarkEnd w:id="100026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本附录列出本报告引用的主要信息来源，按类别分组，便于读者后续检索与追踪。所有信息均来自公开招标平台、银行官网、行业研究报告与厂商案例库，仅供学习与研究使用。</w:t>
      </w:r>
    </w:p>
    <w:p>
      <w:pPr>
        <w:pStyle w:val="Heading2"/>
        <w:spacing w:after="120" w:before="240" w:line="312"/>
      </w:pPr>
      <w:bookmarkStart w:id="100027" w:name="_Toc100027"/>
      <w:r>
        <w:rPr>
          <w:rFonts w:ascii="Calibri" w:eastAsia="SimHei"/>
          <w:b/>
          <w:bCs/>
          <w:color w:val="1A1A1A"/>
          <w:sz w:val="28"/>
          <w:szCs w:val="28"/>
        </w:rPr>
        <w:t xml:space="preserve">A.1 招标与中标公告来源</w:t>
      </w:r>
      <w:bookmarkEnd w:id="100027"/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A-1：银行 RPA 招标与中标公告来源一览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pct" w:w="6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来源名称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信息类型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九江银行官网招标公告页（www.jjccb.com）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招标公告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湖南银行官网采购专栏（www.hunan-bank.com）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招标公告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北京银行集采平台（login-cpm-xt.bankofbeijing.com.cn）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招标与中标公告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中国邮政采购网（www.chinapost.com.cn）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招标与中标公告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嘉兴银行官网（www.bojx.com）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中标公告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山东农信联合社官网（www.sdnxs.com）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招标公告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移动支付网（m.mpaypass.com.cn）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行业招标信息资讯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华夏银行官网（www.hxb.com.cn）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招标公告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南京银行官网采购专栏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招标公告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贵州银行官网（www.bankgz.com）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中标公告</w:t>
            </w:r>
          </w:p>
        </w:tc>
      </w:tr>
    </w:tbl>
    <w:p>
      <w:pPr>
        <w:pStyle w:val="Heading2"/>
        <w:spacing w:after="120" w:before="240" w:line="312"/>
      </w:pPr>
      <w:bookmarkStart w:id="100028" w:name="_Toc100028"/>
      <w:r>
        <w:rPr>
          <w:rFonts w:ascii="Calibri" w:eastAsia="SimHei"/>
          <w:b/>
          <w:bCs/>
          <w:color w:val="1A1A1A"/>
          <w:sz w:val="28"/>
          <w:szCs w:val="28"/>
        </w:rPr>
        <w:t xml:space="preserve">A.2 行业分析与厂商案例来源</w:t>
      </w:r>
      <w:bookmarkEnd w:id="100028"/>
    </w:p>
    <w:p>
      <w:pPr>
        <w:keepNext/>
        <w:spacing w:after="80" w:before="20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A-2：行业分析与厂商案例来源一览</w:t>
      </w:r>
    </w:p>
    <w:tbl>
      <w:tblPr>
        <w:tblW w:type="pct" w:w="100%"/>
        <w:tblBorders>
          <w:top w:val="single" w:color="1A1A1A" w:sz="6"/>
          <w:left w:val="none"/>
          <w:bottom w:val="single" w:color="1A1A1A" w:sz="6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pct" w:w="64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来源名称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0"/>
                <w:szCs w:val="20"/>
              </w:rPr>
              <w:t xml:space="preserve">信息类型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金采网（www.cfcpn.com）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金融行业采购服务平台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中国人民银行集中采购中心（jzcg.pbc.gov.cn）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人行采购公告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工银集采（jc.icbc.com.cn）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工行采购公告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中银智采平台（www.boc.cn）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中行采购公告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建行公告列表（www.ccb.com）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建行公告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国家开发银行采购网（cg.cdb.com.cn）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国开行采购公告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来也科技官网（laiye.com）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厂商银行案例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艺赛旗 RPA 官网（www.i-search.com.cn）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厂商银行案例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达观数据官网（www.datagrand.com）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厂商银行案例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金智维官网（www.kingsware.cn）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厂商银行案例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UiPath 中国官网（www.uipath.com.cn）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国际厂商银行案例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实在智能官网（www.ai-indeed.com）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厂商银行案例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腾讯云开发者社区（cloud.tencent.com）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行业分析文章</w:t>
            </w:r>
          </w:p>
        </w:tc>
      </w:tr>
      <w:tr>
        <w:trPr>
          <w:cantSplit/>
        </w:trPr>
        <w:tc>
          <w:tcPr>
            <w:tcW w:type="pct" w:w="6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64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RPA 中国官网（www.rpa-cn.com）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行业案例库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金融科技在中国（www.fintechinchina.com）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银行案例库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以上信息来源可以作为应聘者后续学习与调研的起点。建议应聘者定期浏览金采网与各行官羑采购专栏，关键词检索 RPA、机器人流程自动化、智能自动化等，不错过新招标公告。同时建议重点研究几家头部 RPA 厂商的银行行业案例，学习其场景设计与实施经验。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08080"/>
        <w:sz w:val="18"/>
        <w:szCs w:val="18"/>
      </w:rPr>
      <w:t xml:space="preserve">银行 RPA 项目招标信息研究与简历项目方案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A1A1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银行 RPA 项目招标信息研究与简历项目方案</dc:title>
  <dc:creator>Bank RPA Research</dc:creator>
  <cp:lastModifiedBy>Un-named</cp:lastModifiedBy>
  <cp:revision>1</cp:revision>
  <dcterms:created xsi:type="dcterms:W3CDTF">2026-06-25T00:11:52.622Z</dcterms:created>
  <dcterms:modified xsi:type="dcterms:W3CDTF">2026-06-25T00:11:52.623Z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