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GRID Position 1: Proposed Measurement &amp; Research Design</w:t>
      </w:r>
    </w:p>
    <w:p>
      <w:pPr>
        <w:jc w:val="center"/>
      </w:pPr>
      <w:r>
        <w:rPr>
          <w:i/>
        </w:rPr>
        <w:t>Political alignment, multidimensional government responses, and the cross-national empirical strategy</w:t>
      </w:r>
    </w:p>
    <w:p>
      <w:r>
        <w:t>Purpose. This memo records the current methodological decisions for the proposed Position 1 PhD within GRID. It is a working research-design document, not a claim about the finalized GRID codebook.</w:t>
      </w:r>
    </w:p>
    <w:p>
      <w:pPr>
        <w:pStyle w:val="Heading1"/>
      </w:pPr>
      <w:r>
        <w:t>1. Core research architecture</w:t>
      </w:r>
    </w:p>
    <w:p>
      <w:r>
        <w:t>Government response to internal displacement is treated as multidimensional rather than as a single protection–repression scale. The project examines how configurations of political alignment among national government, local authorities, and displaced populations are associated with different government responses, while considering the institutional location of authority over the relevant policy domain.</w:t>
      </w:r>
    </w:p>
    <w:tbl>
      <w:tblPr>
        <w:tblStyle w:val="TableGrid"/>
        <w:tblW w:type="auto" w:w="0"/>
        <w:jc w:val="center"/>
        <w:tblLook w:firstColumn="1" w:firstRow="1" w:lastColumn="0" w:lastRow="0" w:noHBand="0" w:noVBand="1" w:val="04A0"/>
      </w:tblPr>
      <w:tblGrid>
        <w:gridCol w:w="4968"/>
        <w:gridCol w:w="4968"/>
      </w:tblGrid>
      <w:tr>
        <w:tc>
          <w:tcPr>
            <w:tcW w:type="dxa" w:w="4968"/>
          </w:tcPr>
          <w:p>
            <w:r>
              <w:t>Component</w:t>
            </w:r>
          </w:p>
        </w:tc>
        <w:tc>
          <w:tcPr>
            <w:tcW w:type="dxa" w:w="4968"/>
          </w:tcPr>
          <w:p>
            <w:r>
              <w:t>Operational concept</w:t>
            </w:r>
          </w:p>
        </w:tc>
      </w:tr>
      <w:tr>
        <w:tc>
          <w:tcPr>
            <w:tcW w:type="dxa" w:w="4968"/>
          </w:tcPr>
          <w:p>
            <w:r>
              <w:t>Explanatory variable</w:t>
            </w:r>
          </w:p>
        </w:tc>
        <w:tc>
          <w:tcPr>
            <w:tcW w:type="dxa" w:w="4968"/>
          </w:tcPr>
          <w:p>
            <w:r>
              <w:t>Political alignment among national government, local authority, and displaced population.</w:t>
            </w:r>
          </w:p>
        </w:tc>
      </w:tr>
      <w:tr>
        <w:tc>
          <w:tcPr>
            <w:tcW w:type="dxa" w:w="4968"/>
          </w:tcPr>
          <w:p>
            <w:r>
              <w:t>Alignment measurement</w:t>
            </w:r>
          </w:p>
        </w:tc>
        <w:tc>
          <w:tcPr>
            <w:tcW w:type="dxa" w:w="4968"/>
          </w:tcPr>
          <w:p>
            <w:r>
              <w:t>Relational and categorical: aligned / cross-cutting or ambiguous / opposed / insufficient evidence.</w:t>
            </w:r>
          </w:p>
        </w:tc>
      </w:tr>
      <w:tr>
        <w:tc>
          <w:tcPr>
            <w:tcW w:type="dxa" w:w="4968"/>
          </w:tcPr>
          <w:p>
            <w:r>
              <w:t>Configuration</w:t>
            </w:r>
          </w:p>
        </w:tc>
        <w:tc>
          <w:tcPr>
            <w:tcW w:type="dxa" w:w="4968"/>
          </w:tcPr>
          <w:p>
            <w:r>
              <w:t>Combination of the three dyadic relationships, rather than a single scalar alignment score.</w:t>
            </w:r>
          </w:p>
        </w:tc>
      </w:tr>
      <w:tr>
        <w:tc>
          <w:tcPr>
            <w:tcW w:type="dxa" w:w="4968"/>
          </w:tcPr>
          <w:p>
            <w:r>
              <w:t>Conditioning factor</w:t>
            </w:r>
          </w:p>
        </w:tc>
        <w:tc>
          <w:tcPr>
            <w:tcW w:type="dxa" w:w="4968"/>
          </w:tcPr>
          <w:p>
            <w:r>
              <w:t>Institutional location of authority: national / local / shared / delegated.</w:t>
            </w:r>
          </w:p>
        </w:tc>
      </w:tr>
      <w:tr>
        <w:tc>
          <w:tcPr>
            <w:tcW w:type="dxa" w:w="4968"/>
          </w:tcPr>
          <w:p>
            <w:r>
              <w:t>Dependent variable</w:t>
            </w:r>
          </w:p>
        </w:tc>
        <w:tc>
          <w:tcPr>
            <w:tcW w:type="dxa" w:w="4968"/>
          </w:tcPr>
          <w:p>
            <w:r>
              <w:t>Multidimensional government-response profile across policy domains.</w:t>
            </w:r>
          </w:p>
        </w:tc>
      </w:tr>
      <w:tr>
        <w:tc>
          <w:tcPr>
            <w:tcW w:type="dxa" w:w="4968"/>
          </w:tcPr>
          <w:p>
            <w:r>
              <w:t>Within-domain dimensions</w:t>
            </w:r>
          </w:p>
        </w:tc>
        <w:tc>
          <w:tcPr>
            <w:tcW w:type="dxa" w:w="4968"/>
          </w:tcPr>
          <w:p>
            <w:r>
              <w:t>De jure and de facto responses coded separately.</w:t>
            </w:r>
          </w:p>
        </w:tc>
      </w:tr>
      <w:tr>
        <w:tc>
          <w:tcPr>
            <w:tcW w:type="dxa" w:w="4968"/>
          </w:tcPr>
          <w:p>
            <w:r>
              <w:t>Response classification</w:t>
            </w:r>
          </w:p>
        </w:tc>
        <w:tc>
          <w:tcPr>
            <w:tcW w:type="dxa" w:w="4968"/>
          </w:tcPr>
          <w:p>
            <w:r>
              <w:t>Protective / repressive-restrictive / no meaningful state response.</w:t>
            </w:r>
          </w:p>
        </w:tc>
      </w:tr>
      <w:tr>
        <w:tc>
          <w:tcPr>
            <w:tcW w:type="dxa" w:w="4968"/>
          </w:tcPr>
          <w:p>
            <w:r>
              <w:t>Cross-national tier</w:t>
            </w:r>
          </w:p>
        </w:tc>
        <w:tc>
          <w:tcPr>
            <w:tcW w:type="dxa" w:w="4968"/>
          </w:tcPr>
          <w:p>
            <w:r>
              <w:t>GRID cross-national dataset, beginning in 1989 and extending through the latest year covered by the finalized dataset.</w:t>
            </w:r>
          </w:p>
        </w:tc>
      </w:tr>
      <w:tr>
        <w:tc>
          <w:tcPr>
            <w:tcW w:type="dxa" w:w="4968"/>
          </w:tcPr>
          <w:p>
            <w:r>
              <w:t>Potential in-depth tier</w:t>
            </w:r>
          </w:p>
        </w:tc>
        <w:tc>
          <w:tcPr>
            <w:tcW w:type="dxa" w:w="4968"/>
          </w:tcPr>
          <w:p>
            <w:r>
              <w:t>A theory-driven in-depth study, with Colombia as the proposed candidate case rather than a predetermined requirement.</w:t>
            </w:r>
          </w:p>
        </w:tc>
      </w:tr>
    </w:tbl>
    <w:p>
      <w:pPr>
        <w:pStyle w:val="Heading1"/>
      </w:pPr>
      <w:r>
        <w:t>2. Response composition: multidomain, not scalar</w:t>
      </w:r>
    </w:p>
    <w:p>
      <w:r>
        <w:t>Response composition should be treated as a multidimensional profile. The project should not collapse all government responses into one continuous protection–repression index. This preserves the possibility that a government protects displaced people in one domain while restricting or repressing them in another.</w:t>
      </w:r>
    </w:p>
    <w:p>
      <w:r>
        <w:t>Illustrative response domains:</w:t>
      </w:r>
    </w:p>
    <w:p>
      <w:pPr>
        <w:pStyle w:val="ListBullet"/>
      </w:pPr>
      <w:r>
        <w:t>Humanitarian assistance</w:t>
      </w:r>
    </w:p>
    <w:p>
      <w:pPr>
        <w:pStyle w:val="ListBullet"/>
      </w:pPr>
      <w:r>
        <w:t>Public services</w:t>
      </w:r>
    </w:p>
    <w:p>
      <w:pPr>
        <w:pStyle w:val="ListBullet"/>
      </w:pPr>
      <w:r>
        <w:t>Rights and legal guarantees</w:t>
      </w:r>
    </w:p>
    <w:p>
      <w:pPr>
        <w:pStyle w:val="ListBullet"/>
      </w:pPr>
      <w:r>
        <w:t>Mobility and territorial control</w:t>
      </w:r>
    </w:p>
    <w:p>
      <w:pPr>
        <w:pStyle w:val="ListBullet"/>
      </w:pPr>
      <w:r>
        <w:t>Other domains included in the finalized GRID framework</w:t>
      </w:r>
    </w:p>
    <w:p>
      <w:r>
        <w:t>The empirical question is therefore what explains the configuration of protective, restrictive, or repressive responses across domains.</w:t>
      </w:r>
    </w:p>
    <w:p>
      <w:pPr>
        <w:pStyle w:val="Heading1"/>
      </w:pPr>
      <w:r>
        <w:t>3. De jure and de facto responses</w:t>
      </w:r>
    </w:p>
    <w:p>
      <w:r>
        <w:t>De jure and de facto responses should be coded separately and then analysed in relation to one another. De jure refers to formal laws, policies, regulations, decrees, and institutional commitments. De facto refers to practices or actions by state actors that may not be formalized in law or policy.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p>
        </w:tc>
        <w:tc>
          <w:tcPr>
            <w:tcW w:type="dxa" w:w="3312"/>
          </w:tcPr>
          <w:p>
            <w:r>
              <w:t>De jure</w:t>
            </w:r>
          </w:p>
        </w:tc>
        <w:tc>
          <w:tcPr>
            <w:tcW w:type="dxa" w:w="3312"/>
          </w:tcPr>
          <w:p>
            <w:r>
              <w:t>De facto</w:t>
            </w:r>
          </w:p>
        </w:tc>
      </w:tr>
      <w:tr>
        <w:tc>
          <w:tcPr>
            <w:tcW w:type="dxa" w:w="3312"/>
          </w:tcPr>
          <w:p>
            <w:r>
              <w:t>Definition</w:t>
            </w:r>
          </w:p>
        </w:tc>
        <w:tc>
          <w:tcPr>
            <w:tcW w:type="dxa" w:w="3312"/>
          </w:tcPr>
          <w:p>
            <w:r>
              <w:t>Formal laws, policies, regulations, decrees, institutional commitments or eligibility provisions.</w:t>
            </w:r>
          </w:p>
        </w:tc>
        <w:tc>
          <w:tcPr>
            <w:tcW w:type="dxa" w:w="3312"/>
          </w:tcPr>
          <w:p>
            <w:r>
              <w:t>Actual practices/actions by state actors, including provision, facilitation, restriction, selective exclusion, withdrawal, delegation, or tolerated practices.</w:t>
            </w:r>
          </w:p>
        </w:tc>
      </w:tr>
      <w:tr>
        <w:tc>
          <w:tcPr>
            <w:tcW w:type="dxa" w:w="3312"/>
          </w:tcPr>
          <w:p>
            <w:r>
              <w:t>Humanitarian assistance</w:t>
            </w:r>
          </w:p>
        </w:tc>
        <w:tc>
          <w:tcPr>
            <w:tcW w:type="dxa" w:w="3312"/>
          </w:tcPr>
          <w:p>
            <w:r>
              <w:t>Formal entitlement, programme, allocation, responsibility, or restriction.</w:t>
            </w:r>
          </w:p>
        </w:tc>
        <w:tc>
          <w:tcPr>
            <w:tcW w:type="dxa" w:w="3312"/>
          </w:tcPr>
          <w:p>
            <w:r>
              <w:t>Actual provision, facilitation, restriction, exclusion, diversion, withdrawal, or administrative/security barriers affecting access.</w:t>
            </w:r>
          </w:p>
        </w:tc>
      </w:tr>
      <w:tr>
        <w:tc>
          <w:tcPr>
            <w:tcW w:type="dxa" w:w="3312"/>
          </w:tcPr>
          <w:p>
            <w:r>
              <w:t>Coding</w:t>
            </w:r>
          </w:p>
        </w:tc>
        <w:tc>
          <w:tcPr>
            <w:tcW w:type="dxa" w:w="3312"/>
          </w:tcPr>
          <w:p>
            <w:r>
              <w:t>Protective / repressive-restrictive / no formal response.</w:t>
            </w:r>
          </w:p>
        </w:tc>
        <w:tc>
          <w:tcPr>
            <w:tcW w:type="dxa" w:w="3312"/>
          </w:tcPr>
          <w:p>
            <w:r>
              <w:t>Protective / repressive-restrictive / no meaningful state action.</w:t>
            </w:r>
          </w:p>
        </w:tc>
      </w:tr>
    </w:tbl>
    <w:p>
      <w:r>
        <w:t>Key rule: absence of a de jure policy should not automatically be coded as absence of a de facto response, and absence of a formal response should not automatically be treated as repression.</w:t>
      </w:r>
    </w:p>
    <w:p>
      <w:pPr>
        <w:pStyle w:val="Heading1"/>
      </w:pPr>
      <w:r>
        <w:t>4. Political alignment: measurement instrument</w:t>
      </w:r>
    </w:p>
    <w:p>
      <w:r>
        <w:t>Political alignment should be measured relationally through the three relevant actor levels. A single scalar alignment score is not recommended because it would obscure the configuration of relationships.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Dyad</w:t>
            </w:r>
          </w:p>
        </w:tc>
        <w:tc>
          <w:tcPr>
            <w:tcW w:type="dxa" w:w="3312"/>
          </w:tcPr>
          <w:p>
            <w:r>
              <w:t>Primary question</w:t>
            </w:r>
          </w:p>
        </w:tc>
        <w:tc>
          <w:tcPr>
            <w:tcW w:type="dxa" w:w="3312"/>
          </w:tcPr>
          <w:p>
            <w:r>
              <w:t>Possible evidence</w:t>
            </w:r>
          </w:p>
        </w:tc>
      </w:tr>
      <w:tr>
        <w:tc>
          <w:tcPr>
            <w:tcW w:type="dxa" w:w="3312"/>
          </w:tcPr>
          <w:p>
            <w:r>
              <w:t>National government ↔ local authority</w:t>
            </w:r>
          </w:p>
        </w:tc>
        <w:tc>
          <w:tcPr>
            <w:tcW w:type="dxa" w:w="3312"/>
          </w:tcPr>
          <w:p>
            <w:r>
              <w:t>Are the governing coalitions politically congruent, cross-cutting, or opposed?</w:t>
            </w:r>
          </w:p>
        </w:tc>
        <w:tc>
          <w:tcPr>
            <w:tcW w:type="dxa" w:w="3312"/>
          </w:tcPr>
          <w:p>
            <w:r>
              <w:t>Partisan/coalitional affiliation, electoral alignment, formal alliances, documented conflict or cooperation.</w:t>
            </w:r>
          </w:p>
        </w:tc>
      </w:tr>
      <w:tr>
        <w:tc>
          <w:tcPr>
            <w:tcW w:type="dxa" w:w="3312"/>
          </w:tcPr>
          <w:p>
            <w:r>
              <w:t>National government ↔ displaced population</w:t>
            </w:r>
          </w:p>
        </w:tc>
        <w:tc>
          <w:tcPr>
            <w:tcW w:type="dxa" w:w="3312"/>
          </w:tcPr>
          <w:p>
            <w:r>
              <w:t>Is the politically salient displaced population aligned with, cross-cutting relative to, or opposed to the national governing coalition?</w:t>
            </w:r>
          </w:p>
        </w:tc>
        <w:tc>
          <w:tcPr>
            <w:tcW w:type="dxa" w:w="3312"/>
          </w:tcPr>
          <w:p>
            <w:r>
              <w:t>Political affiliation/coalition, electoral evidence where available, documented alliances or exclusion, evidence on politically salient group identity.</w:t>
            </w:r>
          </w:p>
        </w:tc>
      </w:tr>
      <w:tr>
        <w:tc>
          <w:tcPr>
            <w:tcW w:type="dxa" w:w="3312"/>
          </w:tcPr>
          <w:p>
            <w:r>
              <w:t>Local authority ↔ displaced population</w:t>
            </w:r>
          </w:p>
        </w:tc>
        <w:tc>
          <w:tcPr>
            <w:tcW w:type="dxa" w:w="3312"/>
          </w:tcPr>
          <w:p>
            <w:r>
              <w:t>Is the relevant local governing coalition aligned with, cross-cutting relative to, or opposed to the displaced population?</w:t>
            </w:r>
          </w:p>
        </w:tc>
        <w:tc>
          <w:tcPr>
            <w:tcW w:type="dxa" w:w="3312"/>
          </w:tcPr>
          <w:p>
            <w:r>
              <w:t>Local political affiliation, electoral evidence, documented relationships, alliances, conflict, or exclusion.</w:t>
            </w:r>
          </w:p>
        </w:tc>
      </w:tr>
    </w:tbl>
    <w:p>
      <w:r>
        <w:t>Suggested dyadic coding:</w:t>
      </w:r>
    </w:p>
    <w:p>
      <w:pPr>
        <w:pStyle w:val="ListBullet"/>
      </w:pPr>
      <w:r>
        <w:t>2 = aligned</w:t>
      </w:r>
    </w:p>
    <w:p>
      <w:pPr>
        <w:pStyle w:val="ListBullet"/>
      </w:pPr>
      <w:r>
        <w:t>1 = cross-cutting / ambiguous</w:t>
      </w:r>
    </w:p>
    <w:p>
      <w:pPr>
        <w:pStyle w:val="ListBullet"/>
      </w:pPr>
      <w:r>
        <w:t>0 = opposed</w:t>
      </w:r>
    </w:p>
    <w:p>
      <w:pPr>
        <w:pStyle w:val="ListBullet"/>
      </w:pPr>
      <w:r>
        <w:t>NA = insufficient evidence</w:t>
      </w:r>
    </w:p>
    <w:p>
      <w:r>
        <w:t>Unknown should remain missing rather than becoming moderate alignment. Exact evidence thresholds should be established through a pilot and reliability checks before full cross-national coding.</w:t>
      </w:r>
    </w:p>
    <w:p>
      <w:pPr>
        <w:pStyle w:val="Heading1"/>
      </w:pPr>
      <w:r>
        <w:t>5. Operationalizing displaced-population alignment</w:t>
      </w:r>
    </w:p>
    <w:p>
      <w:r>
        <w:t>The displaced population should not be assumed to be a politically homogeneous actor. For cross-national coding, identify the politically salient displaced population or group associated with the relevant displacement episode, using evidence from the period immediately preceding or surrounding displacement onset.</w:t>
      </w:r>
    </w:p>
    <w:p>
      <w:r>
        <w:t>Preferred temporal ordering:</w:t>
      </w:r>
    </w:p>
    <w:p>
      <w:pPr>
        <w:pStyle w:val="ListNumber"/>
      </w:pPr>
      <w:r>
        <w:t>Pre-displacement or onset-period political alignment</w:t>
      </w:r>
    </w:p>
    <w:p>
      <w:pPr>
        <w:pStyle w:val="ListNumber"/>
      </w:pPr>
      <w:r>
        <w:t>Displacement episode</w:t>
      </w:r>
    </w:p>
    <w:p>
      <w:pPr>
        <w:pStyle w:val="ListNumber"/>
      </w:pPr>
      <w:r>
        <w:t>Subsequent government response</w:t>
      </w:r>
    </w:p>
    <w:p>
      <w:r>
        <w:t>This reduces the risk of measuring alignment after it has itself been altered by government protection, repression, displacement, or selection into displacement.</w:t>
      </w:r>
    </w:p>
    <w:p>
      <w:pPr>
        <w:pStyle w:val="Heading1"/>
      </w:pPr>
      <w:r>
        <w:t>6. Humanitarian assistance as the pilot domain</w:t>
      </w:r>
    </w:p>
    <w:p>
      <w:r>
        <w:t>Humanitarian assistance is the recommended first domain for piloting the coding instrument. It is directly within GRID's conceptualization of protective responses and provides a tractable setting in which formal commitments and actual practices can be distinguished.</w:t>
      </w:r>
    </w:p>
    <w:p>
      <w:r>
        <w:t>Pilot coding questions:</w:t>
      </w:r>
    </w:p>
    <w:p>
      <w:pPr>
        <w:pStyle w:val="ListBullet"/>
      </w:pPr>
      <w:r>
        <w:t>What formal entitlement, programme, allocation, institutional responsibility, or restriction exists?</w:t>
      </w:r>
    </w:p>
    <w:p>
      <w:pPr>
        <w:pStyle w:val="ListBullet"/>
      </w:pPr>
      <w:r>
        <w:t>What assistance is actually provided, facilitated, restricted, selectively withheld, or withdrawn?</w:t>
      </w:r>
    </w:p>
    <w:p>
      <w:pPr>
        <w:pStyle w:val="ListBullet"/>
      </w:pPr>
      <w:r>
        <w:t>Which state actor has authority over the relevant decision or implementation?</w:t>
      </w:r>
    </w:p>
    <w:p>
      <w:pPr>
        <w:pStyle w:val="ListBullet"/>
      </w:pPr>
      <w:r>
        <w:t>Is the response protective, repressive/restrictive, or absent?</w:t>
      </w:r>
    </w:p>
    <w:p>
      <w:pPr>
        <w:pStyle w:val="ListBullet"/>
      </w:pPr>
      <w:r>
        <w:t>Does the de facto response correspond to or diverge from the de jure response?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p>
        </w:tc>
        <w:tc>
          <w:tcPr>
            <w:tcW w:type="dxa" w:w="3312"/>
          </w:tcPr>
          <w:p>
            <w:r>
              <w:t>De facto protective</w:t>
            </w:r>
          </w:p>
        </w:tc>
        <w:tc>
          <w:tcPr>
            <w:tcW w:type="dxa" w:w="3312"/>
          </w:tcPr>
          <w:p>
            <w:r>
              <w:t>De facto repressive / restrictive</w:t>
            </w:r>
          </w:p>
        </w:tc>
      </w:tr>
      <w:tr>
        <w:tc>
          <w:tcPr>
            <w:tcW w:type="dxa" w:w="3312"/>
          </w:tcPr>
          <w:p>
            <w:r>
              <w:t>De jure protective</w:t>
            </w:r>
          </w:p>
        </w:tc>
        <w:tc>
          <w:tcPr>
            <w:tcW w:type="dxa" w:w="3312"/>
          </w:tcPr>
          <w:p>
            <w:r>
              <w:t>Consistent protection</w:t>
            </w:r>
          </w:p>
        </w:tc>
        <w:tc>
          <w:tcPr>
            <w:tcW w:type="dxa" w:w="3312"/>
          </w:tcPr>
          <w:p>
            <w:r>
              <w:t>Protective-inconsistent response</w:t>
            </w:r>
          </w:p>
        </w:tc>
      </w:tr>
      <w:tr>
        <w:tc>
          <w:tcPr>
            <w:tcW w:type="dxa" w:w="3312"/>
          </w:tcPr>
          <w:p>
            <w:r>
              <w:t>De jure repressive / restrictive</w:t>
            </w:r>
          </w:p>
        </w:tc>
        <w:tc>
          <w:tcPr>
            <w:tcW w:type="dxa" w:w="3312"/>
          </w:tcPr>
          <w:p>
            <w:r>
              <w:t>Repressive-inconsistent response</w:t>
            </w:r>
          </w:p>
        </w:tc>
        <w:tc>
          <w:tcPr>
            <w:tcW w:type="dxa" w:w="3312"/>
          </w:tcPr>
          <w:p>
            <w:r>
              <w:t>Consistent repression / restriction</w:t>
            </w:r>
          </w:p>
        </w:tc>
      </w:tr>
    </w:tbl>
    <w:p>
      <w:pPr>
        <w:pStyle w:val="Heading1"/>
      </w:pPr>
      <w:r>
        <w:t>7. Temporal and country scope</w:t>
      </w:r>
    </w:p>
    <w:p>
      <w:r>
        <w:t>The cross-national tier should begin in 1989, matching the stated temporal scope of the GRID dataset. The end year should be described as the latest year covered by the finalized dataset rather than fixed in advance if the final codebook is not yet available.</w:t>
      </w:r>
    </w:p>
    <w:p>
      <w:r>
        <w:t>The country scope should be all countries falling within the finalized GRID cross-national dataset and its substantive inclusion criteria. Colombia, Burundi, and Iraq are the broader project's case-study contexts and should not be treated as the complete country universe for Position 1.</w:t>
      </w:r>
    </w:p>
    <w:p>
      <w:r>
        <w:t>The precise statistical unit should follow the structure of the GRID data. A country-year or country-year-displacement-episode structure may be appropriate, but the final unit and estimator should be specified only after inspecting the finalized dataset.</w:t>
      </w:r>
    </w:p>
    <w:p>
      <w:pPr>
        <w:pStyle w:val="Heading1"/>
      </w:pPr>
      <w:r>
        <w:t>8. Proposed empirical sequence</w:t>
      </w:r>
    </w:p>
    <w:p>
      <w:pPr>
        <w:pStyle w:val="ListNumber"/>
      </w:pPr>
      <w:r>
        <w:rPr>
          <w:b/>
        </w:rPr>
        <w:t xml:space="preserve">Cross-national measurement: </w:t>
      </w:r>
      <w:r>
        <w:t>Construct and validate measures of alignment configurations and multidimensional government responses using GRID data.</w:t>
      </w:r>
    </w:p>
    <w:p>
      <w:pPr>
        <w:pStyle w:val="ListNumber"/>
      </w:pPr>
      <w:r>
        <w:rPr>
          <w:b/>
        </w:rPr>
        <w:t xml:space="preserve">Cross-national analysis: </w:t>
      </w:r>
      <w:r>
        <w:t>Test whether different alignment configurations are associated with different response profiles, accounting for the temporal and country-level structure.</w:t>
      </w:r>
    </w:p>
    <w:p>
      <w:pPr>
        <w:pStyle w:val="ListNumber"/>
      </w:pPr>
      <w:r>
        <w:rPr>
          <w:b/>
        </w:rPr>
        <w:t xml:space="preserve">Case selection: </w:t>
      </w:r>
      <w:r>
        <w:t>Use theoretically informed criteria and cross-national findings to identify the most informative setting for deeper investigation.</w:t>
      </w:r>
    </w:p>
    <w:p>
      <w:pPr>
        <w:pStyle w:val="ListNumber"/>
      </w:pPr>
      <w:r>
        <w:rPr>
          <w:b/>
        </w:rPr>
        <w:t xml:space="preserve">In-depth study: </w:t>
      </w:r>
      <w:r>
        <w:t>Use Colombia as the proposed candidate case to examine mechanisms at subnational level, subject to feasibility and cross-national findings.</w:t>
      </w:r>
    </w:p>
    <w:p>
      <w:pPr>
        <w:pStyle w:val="ListNumber"/>
      </w:pPr>
      <w:r>
        <w:rPr>
          <w:b/>
        </w:rPr>
        <w:t xml:space="preserve">Process tracing: </w:t>
      </w:r>
      <w:r>
        <w:t>Investigate how political relationships and institutional authority translate into concrete government responses.</w:t>
      </w:r>
    </w:p>
    <w:p>
      <w:pPr>
        <w:pStyle w:val="ListNumber"/>
      </w:pPr>
      <w:r>
        <w:rPr>
          <w:b/>
        </w:rPr>
        <w:t xml:space="preserve">Theoretical refinement: </w:t>
      </w:r>
      <w:r>
        <w:t>Compare cross-national patterns with within-case evidence and refine the explanation of when alignment produces protection, restriction, repression, or mixed profiles.</w:t>
      </w:r>
    </w:p>
    <w:p>
      <w:pPr>
        <w:pStyle w:val="Heading1"/>
      </w:pPr>
      <w:r>
        <w:t>9. Methodological safeguards</w:t>
      </w:r>
    </w:p>
    <w:p>
      <w:pPr>
        <w:pStyle w:val="ListBullet"/>
      </w:pPr>
      <w:r>
        <w:t>Do not collapse multidimensional responses into a single protection–repression score unless the evidence justifies a specific aggregation rule.</w:t>
      </w:r>
    </w:p>
    <w:p>
      <w:pPr>
        <w:pStyle w:val="ListBullet"/>
      </w:pPr>
      <w:r>
        <w:t>Do not treat missing evidence as moderate alignment.</w:t>
      </w:r>
    </w:p>
    <w:p>
      <w:pPr>
        <w:pStyle w:val="ListBullet"/>
      </w:pPr>
      <w:r>
        <w:t>Measure political alignment before, or as close as possible to, the onset of the relevant displacement episode.</w:t>
      </w:r>
    </w:p>
    <w:p>
      <w:pPr>
        <w:pStyle w:val="ListBullet"/>
      </w:pPr>
      <w:r>
        <w:t>Distinguish state-caused displacement from displacement caused by other actors where the data permit.</w:t>
      </w:r>
    </w:p>
    <w:p>
      <w:pPr>
        <w:pStyle w:val="ListBullet"/>
      </w:pPr>
      <w:r>
        <w:t>Separate political choice from capacity constraints, territorial control, conflict intensity, and humanitarian access.</w:t>
      </w:r>
    </w:p>
    <w:p>
      <w:pPr>
        <w:pStyle w:val="ListBullet"/>
      </w:pPr>
      <w:r>
        <w:t>Do not promise a particular estimator before inspecting the final GRID data structure.</w:t>
      </w:r>
    </w:p>
    <w:p>
      <w:pPr>
        <w:pStyle w:val="ListBullet"/>
      </w:pPr>
      <w:r>
        <w:t>Pilot the coding rules on a small set of cases and assess intercoder agreement before scaling up.</w:t>
      </w:r>
    </w:p>
    <w:p>
      <w:pPr>
        <w:pStyle w:val="ListBullet"/>
      </w:pPr>
      <w:r>
        <w:t>Treat Colombia as a potential in-depth component of Position 1, not as a requirement to reproduce all three GRID country studies.</w:t>
      </w:r>
    </w:p>
    <w:p>
      <w:pPr>
        <w:pStyle w:val="Heading1"/>
      </w:pPr>
      <w:r>
        <w:t>10. One-sentence conceptual model</w:t>
      </w:r>
    </w:p>
    <w:p>
      <w:pPr>
        <w:jc w:val="center"/>
      </w:pPr>
      <w:r>
        <w:rPr>
          <w:b/>
        </w:rPr>
        <w:t>Pre-displacement political alignment configuration → political incentives and relationships → domain-specific government response, conditioned by the institutional location of authority</w:t>
      </w:r>
    </w:p>
    <w:p/>
    <w:p>
      <w:r>
        <w:rPr>
          <w:b/>
        </w:rPr>
        <w:t xml:space="preserve">Status: </w:t>
      </w:r>
      <w:r>
        <w:t>Working methodological design for the proposed Position 1 PhD. The finalized GRID codebook may determine the final variables, unit of analysis, and available years.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