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GRID Position 1: Refining the Measurement Framework</w:t>
      </w:r>
    </w:p>
    <w:p>
      <w:pPr>
        <w:jc w:val="center"/>
      </w:pPr>
      <w:r>
        <w:rPr>
          <w:i/>
        </w:rPr>
        <w:t>Aggregation of political alignment, evidence confidence, and authority locus</w:t>
      </w:r>
    </w:p>
    <w:p>
      <w:r>
        <w:t>This memo consolidates the methodological decisions and refinements concerning three open questions: (1) how to aggregate the three dyadic political-alignment scores; (2) how to assess confidence in the evidence underlying those scores; and (3) how to operationalize the institutional locus of authority.</w:t>
      </w:r>
    </w:p>
    <w:p>
      <w:pPr>
        <w:pStyle w:val="Heading1"/>
      </w:pPr>
      <w:r>
        <w:t>1. Aggregating the three dyadic scores</w:t>
      </w:r>
    </w:p>
    <w:p>
      <w:r>
        <w:t>The three dyadic relationships are coded separately: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Dyad</w:t>
            </w:r>
          </w:p>
        </w:tc>
        <w:tc>
          <w:tcPr>
            <w:tcW w:type="dxa" w:w="4968"/>
          </w:tcPr>
          <w:p>
            <w:r>
              <w:t>Relationship</w:t>
            </w:r>
          </w:p>
        </w:tc>
      </w:tr>
      <w:tr>
        <w:tc>
          <w:tcPr>
            <w:tcW w:type="dxa" w:w="4968"/>
          </w:tcPr>
          <w:p>
            <w:r>
              <w:t>NG–L</w:t>
            </w:r>
          </w:p>
        </w:tc>
        <w:tc>
          <w:tcPr>
            <w:tcW w:type="dxa" w:w="4968"/>
          </w:tcPr>
          <w:p>
            <w:r>
              <w:t>National government ↔ local authority</w:t>
            </w:r>
          </w:p>
        </w:tc>
      </w:tr>
      <w:tr>
        <w:tc>
          <w:tcPr>
            <w:tcW w:type="dxa" w:w="4968"/>
          </w:tcPr>
          <w:p>
            <w:r>
              <w:t>NG–D</w:t>
            </w:r>
          </w:p>
        </w:tc>
        <w:tc>
          <w:tcPr>
            <w:tcW w:type="dxa" w:w="4968"/>
          </w:tcPr>
          <w:p>
            <w:r>
              <w:t>National government ↔ displaced population</w:t>
            </w:r>
          </w:p>
        </w:tc>
      </w:tr>
      <w:tr>
        <w:tc>
          <w:tcPr>
            <w:tcW w:type="dxa" w:w="4968"/>
          </w:tcPr>
          <w:p>
            <w:r>
              <w:t>L–D</w:t>
            </w:r>
          </w:p>
        </w:tc>
        <w:tc>
          <w:tcPr>
            <w:tcW w:type="dxa" w:w="4968"/>
          </w:tcPr>
          <w:p>
            <w:r>
              <w:t>Local authority ↔ displaced population</w:t>
            </w:r>
          </w:p>
        </w:tc>
      </w:tr>
    </w:tbl>
    <w:p>
      <w:r>
        <w:t>Each dyad receives: 2 = aligned; 1 = cross-cutting/ambiguous; 0 = opposed; NA = insufficient evidence.</w:t>
      </w:r>
    </w:p>
    <w:p>
      <w:r>
        <w:t>The recommended approach is not to calculate a single scalar alignment index. The three-way configuration contains theoretically meaningful information that would be lost through simple averaging.</w:t>
      </w:r>
    </w:p>
    <w:p>
      <w:r>
        <w:t>Recommended derived typology: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Configuration</w:t>
            </w:r>
          </w:p>
        </w:tc>
        <w:tc>
          <w:tcPr>
            <w:tcW w:type="dxa" w:w="1987"/>
          </w:tcPr>
          <w:p>
            <w:r>
              <w:t>NG–L</w:t>
            </w:r>
          </w:p>
        </w:tc>
        <w:tc>
          <w:tcPr>
            <w:tcW w:type="dxa" w:w="1987"/>
          </w:tcPr>
          <w:p>
            <w:r>
              <w:t>NG–D</w:t>
            </w:r>
          </w:p>
        </w:tc>
        <w:tc>
          <w:tcPr>
            <w:tcW w:type="dxa" w:w="1987"/>
          </w:tcPr>
          <w:p>
            <w:r>
              <w:t>L–D</w:t>
            </w:r>
          </w:p>
        </w:tc>
        <w:tc>
          <w:tcPr>
            <w:tcW w:type="dxa" w:w="1987"/>
          </w:tcPr>
          <w:p>
            <w:r>
              <w:t>Interpretation</w:t>
            </w:r>
          </w:p>
        </w:tc>
      </w:tr>
      <w:tr>
        <w:tc>
          <w:tcPr>
            <w:tcW w:type="dxa" w:w="1987"/>
          </w:tcPr>
          <w:p>
            <w:r>
              <w:t>Shared alignment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All three relationships are aligned.</w:t>
            </w:r>
          </w:p>
        </w:tc>
      </w:tr>
      <w:tr>
        <w:tc>
          <w:tcPr>
            <w:tcW w:type="dxa" w:w="1987"/>
          </w:tcPr>
          <w:p>
            <w:r>
              <w:t>Predominantly aligned</w:t>
            </w:r>
          </w:p>
        </w:tc>
        <w:tc>
          <w:tcPr>
            <w:tcW w:type="dxa" w:w="1987"/>
          </w:tcPr>
          <w:p>
            <w:r>
              <w:t>2/1</w:t>
            </w:r>
          </w:p>
        </w:tc>
        <w:tc>
          <w:tcPr>
            <w:tcW w:type="dxa" w:w="1987"/>
          </w:tcPr>
          <w:p>
            <w:r>
              <w:t>2/1</w:t>
            </w:r>
          </w:p>
        </w:tc>
        <w:tc>
          <w:tcPr>
            <w:tcW w:type="dxa" w:w="1987"/>
          </w:tcPr>
          <w:p>
            <w:r>
              <w:t>2/1</w:t>
            </w:r>
          </w:p>
        </w:tc>
        <w:tc>
          <w:tcPr>
            <w:tcW w:type="dxa" w:w="1987"/>
          </w:tcPr>
          <w:p>
            <w:r>
              <w:t>No observed opposition, but at least one relationship is cross-cutting/ambiguous.</w:t>
            </w:r>
          </w:p>
        </w:tc>
      </w:tr>
      <w:tr>
        <w:tc>
          <w:tcPr>
            <w:tcW w:type="dxa" w:w="1987"/>
          </w:tcPr>
          <w:p>
            <w:r>
              <w:t>Fragmented</w:t>
            </w:r>
          </w:p>
        </w:tc>
        <w:tc>
          <w:tcPr>
            <w:tcW w:type="dxa" w:w="1987"/>
          </w:tcPr>
          <w:p>
            <w:r>
              <w:t>mixed</w:t>
            </w:r>
          </w:p>
        </w:tc>
        <w:tc>
          <w:tcPr>
            <w:tcW w:type="dxa" w:w="1987"/>
          </w:tcPr>
          <w:p>
            <w:r>
              <w:t>mixed</w:t>
            </w:r>
          </w:p>
        </w:tc>
        <w:tc>
          <w:tcPr>
            <w:tcW w:type="dxa" w:w="1987"/>
          </w:tcPr>
          <w:p>
            <w:r>
              <w:t>mixed</w:t>
            </w:r>
          </w:p>
        </w:tc>
        <w:tc>
          <w:tcPr>
            <w:tcW w:type="dxa" w:w="1987"/>
          </w:tcPr>
          <w:p>
            <w:r>
              <w:t>At least one dyad is opposed and the configuration is non-uniform.</w:t>
            </w:r>
          </w:p>
        </w:tc>
      </w:tr>
      <w:tr>
        <w:tc>
          <w:tcPr>
            <w:tcW w:type="dxa" w:w="1987"/>
          </w:tcPr>
          <w:p>
            <w:r>
              <w:t>Shared opposition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All three relationships are opposed.</w:t>
            </w:r>
          </w:p>
        </w:tc>
      </w:tr>
      <w:tr>
        <w:tc>
          <w:tcPr>
            <w:tcW w:type="dxa" w:w="1987"/>
          </w:tcPr>
          <w:p>
            <w:r>
              <w:t>Indeterminate</w:t>
            </w:r>
          </w:p>
        </w:tc>
        <w:tc>
          <w:tcPr>
            <w:tcW w:type="dxa" w:w="1987"/>
          </w:tcPr>
          <w:p>
            <w:r>
              <w:t>NA-heavy</w:t>
            </w:r>
          </w:p>
        </w:tc>
        <w:tc>
          <w:tcPr>
            <w:tcW w:type="dxa" w:w="1987"/>
          </w:tcPr>
          <w:p>
            <w:r>
              <w:t>NA-heavy</w:t>
            </w:r>
          </w:p>
        </w:tc>
        <w:tc>
          <w:tcPr>
            <w:tcW w:type="dxa" w:w="1987"/>
          </w:tcPr>
          <w:p>
            <w:r>
              <w:t>NA-heavy</w:t>
            </w:r>
          </w:p>
        </w:tc>
        <w:tc>
          <w:tcPr>
            <w:tcW w:type="dxa" w:w="1987"/>
          </w:tcPr>
          <w:p>
            <w:r>
              <w:t>Insufficient evidence to classify the configuration.</w:t>
            </w:r>
          </w:p>
        </w:tc>
      </w:tr>
    </w:tbl>
    <w:p>
      <w:r>
        <w:t>Primary rule: shared alignment requires all three dyads to be coded 2. Fragmented alignment requires at least one dyad coded 0, provided that there is sufficient evidence to establish a non-uniform configuration.</w:t>
      </w:r>
    </w:p>
    <w:p>
      <w:r>
        <w:t>Importantly, configurations should not be treated as equivalent simply because they produce the same numerical average. For example, (2,2,1) and (2,0,2) represent substantively different political structures.</w:t>
      </w:r>
    </w:p>
    <w:p>
      <w:pPr>
        <w:pStyle w:val="Heading1"/>
      </w:pPr>
      <w:r>
        <w:t>2. Preserve the full configuration in the dataset</w:t>
      </w:r>
    </w:p>
    <w:p>
      <w:r>
        <w:t>Two variables should therefore be retained: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alignment_configuration</w:t>
            </w:r>
          </w:p>
        </w:tc>
        <w:tc>
          <w:tcPr>
            <w:tcW w:type="dxa" w:w="4968"/>
          </w:tcPr>
          <w:p>
            <w:r>
              <w:t>Stores the full three-dyad vector, e.g. (2,2,2), (2,2,1), or (2,0,2).</w:t>
            </w:r>
          </w:p>
        </w:tc>
      </w:tr>
      <w:tr>
        <w:tc>
          <w:tcPr>
            <w:tcW w:type="dxa" w:w="4968"/>
          </w:tcPr>
          <w:p>
            <w:r>
              <w:t>alignment_structure</w:t>
            </w:r>
          </w:p>
        </w:tc>
        <w:tc>
          <w:tcPr>
            <w:tcW w:type="dxa" w:w="4968"/>
          </w:tcPr>
          <w:p>
            <w:r>
              <w:t>Derived categorical summary: shared alignment / predominantly aligned / fragmented / shared opposition / indeterminate.</w:t>
            </w:r>
          </w:p>
        </w:tc>
      </w:tr>
    </w:tbl>
    <w:p>
      <w:r>
        <w:t>The full configuration should be the primary explanatory measure. The simplified categorical variable can be used where a more parsimonious specification is theoretically appropriate.</w:t>
      </w:r>
    </w:p>
    <w:p>
      <w:r>
        <w:t>Treatment of missing dyads:</w:t>
      </w:r>
    </w:p>
    <w:p>
      <w:pPr>
        <w:pStyle w:val="ListBullet"/>
      </w:pPr>
      <w:r>
        <w:t>3/3 dyads observed: classify normally.</w:t>
      </w:r>
    </w:p>
    <w:p>
      <w:pPr>
        <w:pStyle w:val="ListBullet"/>
      </w:pPr>
      <w:r>
        <w:t>2/3 dyads observed: classify only when the observed relationships are sufficient to establish the configuration.</w:t>
      </w:r>
    </w:p>
    <w:p>
      <w:pPr>
        <w:pStyle w:val="ListBullet"/>
      </w:pPr>
      <w:r>
        <w:t>1/3 dyads observed: generally classify as indeterminate.</w:t>
      </w:r>
    </w:p>
    <w:p>
      <w:pPr>
        <w:pStyle w:val="ListBullet"/>
      </w:pPr>
      <w:r>
        <w:t>0/3 dyads observed: indeterminate.</w:t>
      </w:r>
    </w:p>
    <w:p>
      <w:r>
        <w:t>NA should never be converted into 1 or another substantive score. A separate variable, `alignment_evidence_coverage`, can record how many dyads are actually observed (0–3).</w:t>
      </w:r>
    </w:p>
    <w:p>
      <w:pPr>
        <w:pStyle w:val="Heading1"/>
      </w:pPr>
      <w:r>
        <w:t>3. Evidence-confidence scheme</w:t>
      </w:r>
    </w:p>
    <w:p>
      <w:r>
        <w:t>Confidence should be kept analytically separate from the substantive alignment score. Weak evidence does not mean that the relationship itself is ambiguous. For example, a relationship can be coded 0 with high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Confidence</w:t>
            </w:r>
          </w:p>
        </w:tc>
        <w:tc>
          <w:tcPr>
            <w:tcW w:type="dxa" w:w="4968"/>
          </w:tcPr>
          <w:p>
            <w:r>
              <w:t>Proposed rule</w:t>
            </w:r>
          </w:p>
        </w:tc>
      </w:tr>
      <w:tr>
        <w:tc>
          <w:tcPr>
            <w:tcW w:type="dxa" w:w="4968"/>
          </w:tcPr>
          <w:p>
            <w:r>
              <w:t>High</w:t>
            </w:r>
          </w:p>
        </w:tc>
        <w:tc>
          <w:tcPr>
            <w:tcW w:type="dxa" w:w="4968"/>
          </w:tcPr>
          <w:p>
            <w:r>
              <w:t>Direct, explicit evidence from a primary or authoritative source, ideally corroborated by an independent source.</w:t>
            </w:r>
          </w:p>
        </w:tc>
      </w:tr>
      <w:tr>
        <w:tc>
          <w:tcPr>
            <w:tcW w:type="dxa" w:w="4968"/>
          </w:tcPr>
          <w:p>
            <w:r>
              <w:t>Medium</w:t>
            </w:r>
          </w:p>
        </w:tc>
        <w:tc>
          <w:tcPr>
            <w:tcW w:type="dxa" w:w="4968"/>
          </w:tcPr>
          <w:p>
            <w:r>
              <w:t>One credible direct source, or multiple consistent indirect sources.</w:t>
            </w:r>
          </w:p>
        </w:tc>
      </w:tr>
      <w:tr>
        <w:tc>
          <w:tcPr>
            <w:tcW w:type="dxa" w:w="4968"/>
          </w:tcPr>
          <w:p>
            <w:r>
              <w:t>Low</w:t>
            </w:r>
          </w:p>
        </w:tc>
        <w:tc>
          <w:tcPr>
            <w:tcW w:type="dxa" w:w="4968"/>
          </w:tcPr>
          <w:p>
            <w:r>
              <w:t>Indirect, incomplete, or weakly corroborated evidence permitting only a tentative classification.</w:t>
            </w:r>
          </w:p>
        </w:tc>
      </w:tr>
      <w:tr>
        <w:tc>
          <w:tcPr>
            <w:tcW w:type="dxa" w:w="4968"/>
          </w:tcPr>
          <w:p>
            <w:r>
              <w:t>Insufficient</w:t>
            </w:r>
          </w:p>
        </w:tc>
        <w:tc>
          <w:tcPr>
            <w:tcW w:type="dxa" w:w="4968"/>
          </w:tcPr>
          <w:p>
            <w:r>
              <w:t>Evidence absent, contradictory, or too weak to justify substantive coding; code as NA.</w:t>
            </w:r>
          </w:p>
        </w:tc>
      </w:tr>
    </w:tbl>
    <w:p>
      <w:r>
        <w:t>Recommended evidence hierarchy:</w:t>
      </w:r>
    </w:p>
    <w:p>
      <w:pPr>
        <w:pStyle w:val="ListBullet"/>
      </w:pPr>
      <w:r>
        <w:t>Tier 1: direct political evidence, such as party/coalition membership, formal coalition agreements, electoral endorsement, documented political alliances, or official political affiliation.</w:t>
      </w:r>
    </w:p>
    <w:p>
      <w:pPr>
        <w:pStyle w:val="ListBullet"/>
      </w:pPr>
      <w:r>
        <w:t>Tier 2: observable political relationships, such as electoral support patterns, documented cooperation, political appointments, public alliances, or documented exclusion/conflict.</w:t>
      </w:r>
    </w:p>
    <w:p>
      <w:pPr>
        <w:pStyle w:val="ListBullet"/>
      </w:pPr>
      <w:r>
        <w:t>Tier 3: indirect contextual evidence, such as historical relationships or contextual associations.</w:t>
      </w:r>
    </w:p>
    <w:p>
      <w:r>
        <w:t>Tier 3 evidence should not by itself be sufficient for a high-confidence classification. In particular, ethnic, religious, geographic, or historical proximity should not automatically be treated as evidence of political alignment.</w:t>
      </w:r>
    </w:p>
    <w:p>
      <w:r>
        <w:t>Recommended analytical treatment: High- and Medium-confidence observations can constitute the principal analytical sample. Low-confidence observations should remain in the dataset but be flagged for sensitivity analysis. Insufficient evidence should be coded NA.</w:t>
      </w:r>
    </w:p>
    <w:p>
      <w:pPr>
        <w:pStyle w:val="Heading1"/>
      </w:pPr>
      <w:r>
        <w:t>4. `authority_locus`: make it domain-specific</w:t>
      </w:r>
    </w:p>
    <w:p>
      <w:r>
        <w:t>The strongest revision is to avoid treating `authority_locus` as a country-level characteristic. Authority should be coded for each relevant government-response domain and period/episode.</w:t>
      </w:r>
    </w:p>
    <w:p>
      <w:r>
        <w:t>The same state may have national authority over legal status, local authority over shelter allocation, shared authority over education, and delegated implementation of humanitarian assistance. A single national/local value would therefore obscure the institutional structure that the theory seeks to examine.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authority_locus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N</w:t>
            </w:r>
          </w:p>
        </w:tc>
        <w:tc>
          <w:tcPr>
            <w:tcW w:type="dxa" w:w="3312"/>
          </w:tcPr>
          <w:p>
            <w:r>
              <w:t>National</w:t>
            </w:r>
          </w:p>
        </w:tc>
        <w:tc>
          <w:tcPr>
            <w:tcW w:type="dxa" w:w="3312"/>
          </w:tcPr>
          <w:p>
            <w:r>
              <w:t>National government has primary decision-making authority.</w:t>
            </w:r>
          </w:p>
        </w:tc>
      </w:tr>
      <w:tr>
        <w:tc>
          <w:tcPr>
            <w:tcW w:type="dxa" w:w="3312"/>
          </w:tcPr>
          <w:p>
            <w:r>
              <w:t>L</w:t>
            </w:r>
          </w:p>
        </w:tc>
        <w:tc>
          <w:tcPr>
            <w:tcW w:type="dxa" w:w="3312"/>
          </w:tcPr>
          <w:p>
            <w:r>
              <w:t>Local/subnational</w:t>
            </w:r>
          </w:p>
        </w:tc>
        <w:tc>
          <w:tcPr>
            <w:tcW w:type="dxa" w:w="3312"/>
          </w:tcPr>
          <w:p>
            <w:r>
              <w:t>Local authority has primary decision-making authority.</w:t>
            </w:r>
          </w:p>
        </w:tc>
      </w:tr>
      <w:tr>
        <w:tc>
          <w:tcPr>
            <w:tcW w:type="dxa" w:w="3312"/>
          </w:tcPr>
          <w:p>
            <w:r>
              <w:t>S</w:t>
            </w:r>
          </w:p>
        </w:tc>
        <w:tc>
          <w:tcPr>
            <w:tcW w:type="dxa" w:w="3312"/>
          </w:tcPr>
          <w:p>
            <w:r>
              <w:t>Shared/concurrent</w:t>
            </w:r>
          </w:p>
        </w:tc>
        <w:tc>
          <w:tcPr>
            <w:tcW w:type="dxa" w:w="3312"/>
          </w:tcPr>
          <w:p>
            <w:r>
              <w:t>National and local authorities both possess meaningful decision-making authority.</w:t>
            </w:r>
          </w:p>
        </w:tc>
      </w:tr>
      <w:tr>
        <w:tc>
          <w:tcPr>
            <w:tcW w:type="dxa" w:w="3312"/>
          </w:tcPr>
          <w:p>
            <w:r>
              <w:t>D</w:t>
            </w:r>
          </w:p>
        </w:tc>
        <w:tc>
          <w:tcPr>
            <w:tcW w:type="dxa" w:w="3312"/>
          </w:tcPr>
          <w:p>
            <w:r>
              <w:t>Delegated</w:t>
            </w:r>
          </w:p>
        </w:tc>
        <w:tc>
          <w:tcPr>
            <w:tcW w:type="dxa" w:w="3312"/>
          </w:tcPr>
          <w:p>
            <w:r>
              <w:t>Authority formally originates at a higher level but implementation or decision authority is delegated downward or to another actor.</w:t>
            </w:r>
          </w:p>
        </w:tc>
      </w:tr>
      <w:tr>
        <w:tc>
          <w:tcPr>
            <w:tcW w:type="dxa" w:w="3312"/>
          </w:tcPr>
          <w:p>
            <w:r>
              <w:t>U</w:t>
            </w:r>
          </w:p>
        </w:tc>
        <w:tc>
          <w:tcPr>
            <w:tcW w:type="dxa" w:w="3312"/>
          </w:tcPr>
          <w:p>
            <w:r>
              <w:t>Unclear</w:t>
            </w:r>
          </w:p>
        </w:tc>
        <w:tc>
          <w:tcPr>
            <w:tcW w:type="dxa" w:w="3312"/>
          </w:tcPr>
          <w:p>
            <w:r>
              <w:t>Evidence is insufficient to determine the institutional locus.</w:t>
            </w:r>
          </w:p>
        </w:tc>
      </w:tr>
    </w:tbl>
    <w:p>
      <w:r>
        <w:t>Delegated should be treated as an institutional relationship rather than simply another geographical level.</w:t>
      </w:r>
    </w:p>
    <w:p>
      <w:pPr>
        <w:pStyle w:val="Heading1"/>
      </w:pPr>
      <w:r>
        <w:t>5. Evidencing authority locus</w:t>
      </w:r>
    </w:p>
    <w:p>
      <w:r>
        <w:t>The authority instrument should combine four indicators. This makes `authority_locus` empirically observable rather than an impressionistic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Indicator</w:t>
            </w:r>
          </w:p>
        </w:tc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Possible evidence</w:t>
            </w:r>
          </w:p>
        </w:tc>
      </w:tr>
      <w:tr>
        <w:tc>
          <w:tcPr>
            <w:tcW w:type="dxa" w:w="3312"/>
          </w:tcPr>
          <w:p>
            <w:r>
              <w:t>A. Formal legal allocation</w:t>
            </w:r>
          </w:p>
        </w:tc>
        <w:tc>
          <w:tcPr>
            <w:tcW w:type="dxa" w:w="3312"/>
          </w:tcPr>
          <w:p>
            <w:r>
              <w:t>Who is legally responsible for the policy domain?</w:t>
            </w:r>
          </w:p>
        </w:tc>
        <w:tc>
          <w:tcPr>
            <w:tcW w:type="dxa" w:w="3312"/>
          </w:tcPr>
          <w:p>
            <w:r>
              <w:t>Constitution, legislation, executive decrees, regulations, administrative statutes, official policy frameworks.</w:t>
            </w:r>
          </w:p>
        </w:tc>
      </w:tr>
      <w:tr>
        <w:tc>
          <w:tcPr>
            <w:tcW w:type="dxa" w:w="3312"/>
          </w:tcPr>
          <w:p>
            <w:r>
              <w:t>B. Budgetary authority</w:t>
            </w:r>
          </w:p>
        </w:tc>
        <w:tc>
          <w:tcPr>
            <w:tcW w:type="dxa" w:w="3312"/>
          </w:tcPr>
          <w:p>
            <w:r>
              <w:t>Who controls the relevant resources?</w:t>
            </w:r>
          </w:p>
        </w:tc>
        <w:tc>
          <w:tcPr>
            <w:tcW w:type="dxa" w:w="3312"/>
          </w:tcPr>
          <w:p>
            <w:r>
              <w:t>National/municipal budgets, programme financing, intergovernmental transfers, earmarked funds, procurement authority.</w:t>
            </w:r>
          </w:p>
        </w:tc>
      </w:tr>
      <w:tr>
        <w:tc>
          <w:tcPr>
            <w:tcW w:type="dxa" w:w="3312"/>
          </w:tcPr>
          <w:p>
            <w:r>
              <w:t>C. Administrative/implementation authority</w:t>
            </w:r>
          </w:p>
        </w:tc>
        <w:tc>
          <w:tcPr>
            <w:tcW w:type="dxa" w:w="3312"/>
          </w:tcPr>
          <w:p>
            <w:r>
              <w:t>Which institution is formally responsible for implementing the policy?</w:t>
            </w:r>
          </w:p>
        </w:tc>
        <w:tc>
          <w:tcPr>
            <w:tcW w:type="dxa" w:w="3312"/>
          </w:tcPr>
          <w:p>
            <w:r>
              <w:t>Administrative mandates, programme manuals, agency structures, implementation guidelines, official records.</w:t>
            </w:r>
          </w:p>
        </w:tc>
      </w:tr>
      <w:tr>
        <w:tc>
          <w:tcPr>
            <w:tcW w:type="dxa" w:w="3312"/>
          </w:tcPr>
          <w:p>
            <w:r>
              <w:t>D. Observed decision-making</w:t>
            </w:r>
          </w:p>
        </w:tc>
        <w:tc>
          <w:tcPr>
            <w:tcW w:type="dxa" w:w="3312"/>
          </w:tcPr>
          <w:p>
            <w:r>
              <w:t>Who actually authorized, restricted, distributed, or withdrew the response?</w:t>
            </w:r>
          </w:p>
        </w:tc>
        <w:tc>
          <w:tcPr>
            <w:tcW w:type="dxa" w:w="3312"/>
          </w:tcPr>
          <w:p>
            <w:r>
              <w:t>Administrative decisions, government orders, programme records, court documents, official correspondence, humanitarian documentation, appropriate interviews.</w:t>
            </w:r>
          </w:p>
        </w:tc>
      </w:tr>
    </w:tbl>
    <w:p>
      <w:pPr>
        <w:pStyle w:val="Heading1"/>
      </w:pPr>
      <w:r>
        <w:t>6. Deriving `authority_locus`</w:t>
      </w:r>
    </w:p>
    <w:p>
      <w:r>
        <w:t>The four indicators should be recorded separately before deriving the final authority-locus category. This prevents a formal legal assignment from being treated as identical to actual decision-making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Indicator</w:t>
            </w:r>
          </w:p>
        </w:tc>
        <w:tc>
          <w:tcPr>
            <w:tcW w:type="dxa" w:w="1656"/>
          </w:tcPr>
          <w:p>
            <w:r>
              <w:t>National</w:t>
            </w:r>
          </w:p>
        </w:tc>
        <w:tc>
          <w:tcPr>
            <w:tcW w:type="dxa" w:w="1656"/>
          </w:tcPr>
          <w:p>
            <w:r>
              <w:t>Local</w:t>
            </w:r>
          </w:p>
        </w:tc>
        <w:tc>
          <w:tcPr>
            <w:tcW w:type="dxa" w:w="1656"/>
          </w:tcPr>
          <w:p>
            <w:r>
              <w:t>Shared</w:t>
            </w:r>
          </w:p>
        </w:tc>
        <w:tc>
          <w:tcPr>
            <w:tcW w:type="dxa" w:w="1656"/>
          </w:tcPr>
          <w:p>
            <w:r>
              <w:t>Delegated</w:t>
            </w:r>
          </w:p>
        </w:tc>
        <w:tc>
          <w:tcPr>
            <w:tcW w:type="dxa" w:w="1656"/>
          </w:tcPr>
          <w:p>
            <w:r>
              <w:t>Unknown</w:t>
            </w:r>
          </w:p>
        </w:tc>
      </w:tr>
      <w:tr>
        <w:tc>
          <w:tcPr>
            <w:tcW w:type="dxa" w:w="1656"/>
          </w:tcPr>
          <w:p>
            <w:r>
              <w:t>Formal legal responsibility</w:t>
            </w:r>
          </w:p>
        </w:tc>
        <w:tc>
          <w:tcPr>
            <w:tcW w:type="dxa" w:w="1656"/>
          </w:tcPr>
          <w:p>
            <w:r>
              <w:t>✓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Budgetary control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>
              <w:t>✓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Administrative responsibility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>
              <w:t>✓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Actual decision-maker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>
              <w:t>✓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r>
        <w:t>Illustrative derivation rules:</w:t>
      </w:r>
    </w:p>
    <w:p>
      <w:pPr>
        <w:pStyle w:val="ListBullet"/>
      </w:pPr>
      <w:r>
        <w:t>National legal responsibility + national budget + national implementation → N (national).</w:t>
      </w:r>
    </w:p>
    <w:p>
      <w:pPr>
        <w:pStyle w:val="ListBullet"/>
      </w:pPr>
      <w:r>
        <w:t>National legal framework + meaningful municipal authority and implementation → potentially S (shared), where both levels possess substantive decision-making power.</w:t>
      </w:r>
    </w:p>
    <w:p>
      <w:pPr>
        <w:pStyle w:val="ListBullet"/>
      </w:pPr>
      <w:r>
        <w:t>National government retains formal responsibility but formally assigns implementation to municipalities → D (delegated), if the institutional arrangement meets the delegation criterion.</w:t>
      </w:r>
    </w:p>
    <w:p>
      <w:pPr>
        <w:pStyle w:val="ListBullet"/>
      </w:pPr>
      <w:r>
        <w:t>Municipality has legally assigned responsibility, controls relevant resources, and makes the decisions → L (local).</w:t>
      </w:r>
    </w:p>
    <w:p>
      <w:r>
        <w:t>The exact derivation rule should be finalized after piloting because formal responsibility, fiscal control, implementation authority, and actual decision-making may not always point to the same level.</w:t>
      </w:r>
    </w:p>
    <w:p>
      <w:pPr>
        <w:pStyle w:val="Heading1"/>
      </w:pPr>
      <w:r>
        <w:t>7. Revised conceptual architecture</w:t>
      </w:r>
    </w:p>
    <w:p>
      <w:r>
        <w:t>The three constructs should remain analytically distinct: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Construct</w:t>
            </w:r>
          </w:p>
        </w:tc>
        <w:tc>
          <w:tcPr>
            <w:tcW w:type="dxa" w:w="4968"/>
          </w:tcPr>
          <w:p>
            <w:r>
              <w:t>Core question</w:t>
            </w:r>
          </w:p>
        </w:tc>
      </w:tr>
      <w:tr>
        <w:tc>
          <w:tcPr>
            <w:tcW w:type="dxa" w:w="4968"/>
          </w:tcPr>
          <w:p>
            <w:r>
              <w:t>Political alignment configuration</w:t>
            </w:r>
          </w:p>
        </w:tc>
        <w:tc>
          <w:tcPr>
            <w:tcW w:type="dxa" w:w="4968"/>
          </w:tcPr>
          <w:p>
            <w:r>
              <w:t>Who is politically related to whom?</w:t>
            </w:r>
          </w:p>
        </w:tc>
      </w:tr>
      <w:tr>
        <w:tc>
          <w:tcPr>
            <w:tcW w:type="dxa" w:w="4968"/>
          </w:tcPr>
          <w:p>
            <w:r>
              <w:t>Authority locus</w:t>
            </w:r>
          </w:p>
        </w:tc>
        <w:tc>
          <w:tcPr>
            <w:tcW w:type="dxa" w:w="4968"/>
          </w:tcPr>
          <w:p>
            <w:r>
              <w:t>Who has institutional power over the relevant response domain?</w:t>
            </w:r>
          </w:p>
        </w:tc>
      </w:tr>
      <w:tr>
        <w:tc>
          <w:tcPr>
            <w:tcW w:type="dxa" w:w="4968"/>
          </w:tcPr>
          <w:p>
            <w:r>
              <w:t>Government response</w:t>
            </w:r>
          </w:p>
        </w:tc>
        <w:tc>
          <w:tcPr>
            <w:tcW w:type="dxa" w:w="4968"/>
          </w:tcPr>
          <w:p>
            <w:r>
              <w:t>What did the state formally and actually do?</w:t>
            </w:r>
          </w:p>
        </w:tc>
      </w:tr>
    </w:tbl>
    <w:p>
      <w:pPr>
        <w:jc w:val="center"/>
      </w:pPr>
      <w:r>
        <w:rPr>
          <w:b/>
        </w:rPr>
        <w:t>Pre-displacement political alignment configuration → political incentives and relationships → domain-specific government response</w:t>
      </w:r>
    </w:p>
    <w:p>
      <w:pPr>
        <w:jc w:val="center"/>
      </w:pPr>
      <w:r>
        <w:rPr>
          <w:i/>
        </w:rPr>
        <w:t>with institutional location of authority conditioning where and through whom those incentives can translate into policy and practice</w:t>
      </w:r>
    </w:p>
    <w:p>
      <w:pPr>
        <w:pStyle w:val="Heading1"/>
      </w:pPr>
      <w:r>
        <w:t>8. Recommended final variable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Variable</w:t>
            </w:r>
          </w:p>
        </w:tc>
        <w:tc>
          <w:tcPr>
            <w:tcW w:type="dxa" w:w="3312"/>
          </w:tcPr>
          <w:p>
            <w:r>
              <w:t>Level</w:t>
            </w:r>
          </w:p>
        </w:tc>
        <w:tc>
          <w:tcPr>
            <w:tcW w:type="dxa" w:w="3312"/>
          </w:tcPr>
          <w:p>
            <w:r>
              <w:t>Coding</w:t>
            </w:r>
          </w:p>
        </w:tc>
      </w:tr>
      <w:tr>
        <w:tc>
          <w:tcPr>
            <w:tcW w:type="dxa" w:w="3312"/>
          </w:tcPr>
          <w:p>
            <w:r>
              <w:t>align_NG_local</w:t>
            </w:r>
          </w:p>
        </w:tc>
        <w:tc>
          <w:tcPr>
            <w:tcW w:type="dxa" w:w="3312"/>
          </w:tcPr>
          <w:p>
            <w:r>
              <w:t>Dyad</w:t>
            </w:r>
          </w:p>
        </w:tc>
        <w:tc>
          <w:tcPr>
            <w:tcW w:type="dxa" w:w="3312"/>
          </w:tcPr>
          <w:p>
            <w:r>
              <w:t>2 / 1 / 0 / NA</w:t>
            </w:r>
          </w:p>
        </w:tc>
      </w:tr>
      <w:tr>
        <w:tc>
          <w:tcPr>
            <w:tcW w:type="dxa" w:w="3312"/>
          </w:tcPr>
          <w:p>
            <w:r>
              <w:t>align_NG_IDP</w:t>
            </w:r>
          </w:p>
        </w:tc>
        <w:tc>
          <w:tcPr>
            <w:tcW w:type="dxa" w:w="3312"/>
          </w:tcPr>
          <w:p>
            <w:r>
              <w:t>Dyad</w:t>
            </w:r>
          </w:p>
        </w:tc>
        <w:tc>
          <w:tcPr>
            <w:tcW w:type="dxa" w:w="3312"/>
          </w:tcPr>
          <w:p>
            <w:r>
              <w:t>2 / 1 / 0 / NA</w:t>
            </w:r>
          </w:p>
        </w:tc>
      </w:tr>
      <w:tr>
        <w:tc>
          <w:tcPr>
            <w:tcW w:type="dxa" w:w="3312"/>
          </w:tcPr>
          <w:p>
            <w:r>
              <w:t>align_local_IDP</w:t>
            </w:r>
          </w:p>
        </w:tc>
        <w:tc>
          <w:tcPr>
            <w:tcW w:type="dxa" w:w="3312"/>
          </w:tcPr>
          <w:p>
            <w:r>
              <w:t>Dyad</w:t>
            </w:r>
          </w:p>
        </w:tc>
        <w:tc>
          <w:tcPr>
            <w:tcW w:type="dxa" w:w="3312"/>
          </w:tcPr>
          <w:p>
            <w:r>
              <w:t>2 / 1 / 0 / NA</w:t>
            </w:r>
          </w:p>
        </w:tc>
      </w:tr>
      <w:tr>
        <w:tc>
          <w:tcPr>
            <w:tcW w:type="dxa" w:w="3312"/>
          </w:tcPr>
          <w:p>
            <w:r>
              <w:t>alignment_configuration</w:t>
            </w:r>
          </w:p>
        </w:tc>
        <w:tc>
          <w:tcPr>
            <w:tcW w:type="dxa" w:w="3312"/>
          </w:tcPr>
          <w:p>
            <w:r>
              <w:t>Episode</w:t>
            </w:r>
          </w:p>
        </w:tc>
        <w:tc>
          <w:tcPr>
            <w:tcW w:type="dxa" w:w="3312"/>
          </w:tcPr>
          <w:p>
            <w:r>
              <w:t>Full three-dyad vector</w:t>
            </w:r>
          </w:p>
        </w:tc>
      </w:tr>
      <w:tr>
        <w:tc>
          <w:tcPr>
            <w:tcW w:type="dxa" w:w="3312"/>
          </w:tcPr>
          <w:p>
            <w:r>
              <w:t>alignment_structure</w:t>
            </w:r>
          </w:p>
        </w:tc>
        <w:tc>
          <w:tcPr>
            <w:tcW w:type="dxa" w:w="3312"/>
          </w:tcPr>
          <w:p>
            <w:r>
              <w:t>Episode</w:t>
            </w:r>
          </w:p>
        </w:tc>
        <w:tc>
          <w:tcPr>
            <w:tcW w:type="dxa" w:w="3312"/>
          </w:tcPr>
          <w:p>
            <w:r>
              <w:t>Shared / predominantly aligned / fragmented / shared opposition / indeterminate</w:t>
            </w:r>
          </w:p>
        </w:tc>
      </w:tr>
      <w:tr>
        <w:tc>
          <w:tcPr>
            <w:tcW w:type="dxa" w:w="3312"/>
          </w:tcPr>
          <w:p>
            <w:r>
              <w:t>alignment_confidence</w:t>
            </w:r>
          </w:p>
        </w:tc>
        <w:tc>
          <w:tcPr>
            <w:tcW w:type="dxa" w:w="3312"/>
          </w:tcPr>
          <w:p>
            <w:r>
              <w:t>Dyad</w:t>
            </w:r>
          </w:p>
        </w:tc>
        <w:tc>
          <w:tcPr>
            <w:tcW w:type="dxa" w:w="3312"/>
          </w:tcPr>
          <w:p>
            <w:r>
              <w:t>High / medium / low / insufficient</w:t>
            </w:r>
          </w:p>
        </w:tc>
      </w:tr>
      <w:tr>
        <w:tc>
          <w:tcPr>
            <w:tcW w:type="dxa" w:w="3312"/>
          </w:tcPr>
          <w:p>
            <w:r>
              <w:t>alignment_evidence_coverage</w:t>
            </w:r>
          </w:p>
        </w:tc>
        <w:tc>
          <w:tcPr>
            <w:tcW w:type="dxa" w:w="3312"/>
          </w:tcPr>
          <w:p>
            <w:r>
              <w:t>Episode</w:t>
            </w:r>
          </w:p>
        </w:tc>
        <w:tc>
          <w:tcPr>
            <w:tcW w:type="dxa" w:w="3312"/>
          </w:tcPr>
          <w:p>
            <w:r>
              <w:t>0–3 observed dyads</w:t>
            </w:r>
          </w:p>
        </w:tc>
      </w:tr>
      <w:tr>
        <w:tc>
          <w:tcPr>
            <w:tcW w:type="dxa" w:w="3312"/>
          </w:tcPr>
          <w:p>
            <w:r>
              <w:t>authority_formal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N / L / S / D / U</w:t>
            </w:r>
          </w:p>
        </w:tc>
      </w:tr>
      <w:tr>
        <w:tc>
          <w:tcPr>
            <w:tcW w:type="dxa" w:w="3312"/>
          </w:tcPr>
          <w:p>
            <w:r>
              <w:t>authority_budget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N / L / S / D / U</w:t>
            </w:r>
          </w:p>
        </w:tc>
      </w:tr>
      <w:tr>
        <w:tc>
          <w:tcPr>
            <w:tcW w:type="dxa" w:w="3312"/>
          </w:tcPr>
          <w:p>
            <w:r>
              <w:t>authority_admin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N / L / S / D / U</w:t>
            </w:r>
          </w:p>
        </w:tc>
      </w:tr>
      <w:tr>
        <w:tc>
          <w:tcPr>
            <w:tcW w:type="dxa" w:w="3312"/>
          </w:tcPr>
          <w:p>
            <w:r>
              <w:t>authority_actual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N / L / S / D / U</w:t>
            </w:r>
          </w:p>
        </w:tc>
      </w:tr>
      <w:tr>
        <w:tc>
          <w:tcPr>
            <w:tcW w:type="dxa" w:w="3312"/>
          </w:tcPr>
          <w:p>
            <w:r>
              <w:t>authority_locus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N / L / S / D / U</w:t>
            </w:r>
          </w:p>
        </w:tc>
      </w:tr>
      <w:tr>
        <w:tc>
          <w:tcPr>
            <w:tcW w:type="dxa" w:w="3312"/>
          </w:tcPr>
          <w:p>
            <w:r>
              <w:t>response_de_jure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Protective / restrictive-repressive / absent</w:t>
            </w:r>
          </w:p>
        </w:tc>
      </w:tr>
      <w:tr>
        <w:tc>
          <w:tcPr>
            <w:tcW w:type="dxa" w:w="3312"/>
          </w:tcPr>
          <w:p>
            <w:r>
              <w:t>response_de_facto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Protective / restrictive-repressive / absent</w:t>
            </w:r>
          </w:p>
        </w:tc>
      </w:tr>
    </w:tbl>
    <w:p>
      <w:pPr>
        <w:pStyle w:val="Heading1"/>
      </w:pPr>
      <w:r>
        <w:t>9. Methodological implication</w:t>
      </w:r>
    </w:p>
    <w:p>
      <w:r>
        <w:t>The resulting design avoids three major measurement problems: reducing relational political structure to a single index; conflating uncertainty with substantive ambiguity; and treating institutional authority as a fixed national attribute. It also creates a transparent audit trail from source evidence to dyadic coding, from dyadic coding to political configuration, and from institutional indicators to domain-specific authority.</w:t>
      </w:r>
    </w:p>
    <w:p>
      <w:r>
        <w:rPr>
          <w:b/>
        </w:rPr>
        <w:t xml:space="preserve">Status: </w:t>
      </w:r>
      <w:r>
        <w:t>Working methodological specification. The precise thresholds for deriving alignment_structure and authority_locus should be validated through a pilot coding exercise before full-scale analysis.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