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D08" w:rsidRPr="009D2D08" w:rsidRDefault="009D2D08" w:rsidP="00825945">
      <w:pPr>
        <w:spacing w:line="360" w:lineRule="auto"/>
        <w:jc w:val="center"/>
        <w:rPr>
          <w:rFonts w:ascii="Cambria" w:hAnsi="Cambria"/>
          <w:b/>
          <w:sz w:val="24"/>
          <w:szCs w:val="24"/>
        </w:rPr>
      </w:pPr>
      <w:r w:rsidRPr="009D2D08">
        <w:rPr>
          <w:rFonts w:ascii="Cambria" w:hAnsi="Cambria"/>
          <w:b/>
          <w:sz w:val="24"/>
          <w:szCs w:val="24"/>
        </w:rPr>
        <w:t>Race, place, and police involved deaths</w:t>
      </w:r>
    </w:p>
    <w:p w:rsidR="006019F7" w:rsidRPr="009D2D08" w:rsidRDefault="009D2D08" w:rsidP="00825945">
      <w:pPr>
        <w:spacing w:line="360" w:lineRule="auto"/>
        <w:rPr>
          <w:rFonts w:ascii="Cambria" w:hAnsi="Cambria"/>
          <w:b/>
          <w:sz w:val="24"/>
          <w:szCs w:val="24"/>
        </w:rPr>
      </w:pPr>
      <w:r w:rsidRPr="009D2D08">
        <w:rPr>
          <w:rFonts w:ascii="Cambria" w:hAnsi="Cambria"/>
          <w:b/>
          <w:sz w:val="24"/>
          <w:szCs w:val="24"/>
        </w:rPr>
        <w:br w:type="page"/>
      </w:r>
    </w:p>
    <w:p w:rsidR="006019F7" w:rsidRPr="009D2D08" w:rsidRDefault="009D2D08" w:rsidP="00825945">
      <w:pPr>
        <w:spacing w:line="360" w:lineRule="auto"/>
        <w:rPr>
          <w:rFonts w:ascii="Cambria" w:hAnsi="Cambria"/>
          <w:b/>
          <w:sz w:val="24"/>
          <w:szCs w:val="24"/>
        </w:rPr>
      </w:pPr>
      <w:r w:rsidRPr="009D2D08">
        <w:rPr>
          <w:rFonts w:ascii="Cambria" w:hAnsi="Cambria"/>
          <w:b/>
          <w:sz w:val="24"/>
          <w:szCs w:val="24"/>
        </w:rPr>
        <w:lastRenderedPageBreak/>
        <w:t>Abstract</w:t>
      </w:r>
    </w:p>
    <w:p w:rsidR="006019F7" w:rsidRPr="009D2D08" w:rsidRDefault="009D2D08" w:rsidP="00825945">
      <w:pPr>
        <w:spacing w:line="360" w:lineRule="auto"/>
        <w:rPr>
          <w:rFonts w:ascii="Cambria" w:hAnsi="Cambria"/>
          <w:sz w:val="24"/>
          <w:szCs w:val="24"/>
        </w:rPr>
      </w:pPr>
      <w:r w:rsidRPr="009D2D08">
        <w:rPr>
          <w:rFonts w:ascii="Cambria" w:hAnsi="Cambria"/>
          <w:b/>
          <w:sz w:val="24"/>
          <w:szCs w:val="24"/>
        </w:rPr>
        <w:t>Objective.</w:t>
      </w:r>
      <w:r w:rsidR="006019F7" w:rsidRPr="009D2D08">
        <w:rPr>
          <w:rFonts w:ascii="Cambria" w:hAnsi="Cambria"/>
          <w:sz w:val="24"/>
          <w:szCs w:val="24"/>
        </w:rPr>
        <w:t xml:space="preserve"> To estimate mortality for police-involved deaths by race and geography in the United States.</w:t>
      </w:r>
    </w:p>
    <w:p w:rsidR="006019F7" w:rsidRPr="009D2D08" w:rsidRDefault="006019F7" w:rsidP="00825945">
      <w:pPr>
        <w:spacing w:line="360" w:lineRule="auto"/>
        <w:rPr>
          <w:rFonts w:ascii="Cambria" w:hAnsi="Cambria"/>
          <w:sz w:val="24"/>
          <w:szCs w:val="24"/>
        </w:rPr>
      </w:pPr>
      <w:r w:rsidRPr="009D2D08">
        <w:rPr>
          <w:rFonts w:ascii="Cambria" w:hAnsi="Cambria"/>
          <w:b/>
          <w:sz w:val="24"/>
          <w:szCs w:val="24"/>
        </w:rPr>
        <w:t>M</w:t>
      </w:r>
      <w:r w:rsidR="009D2D08" w:rsidRPr="009D2D08">
        <w:rPr>
          <w:rFonts w:ascii="Cambria" w:hAnsi="Cambria"/>
          <w:b/>
          <w:sz w:val="24"/>
          <w:szCs w:val="24"/>
        </w:rPr>
        <w:t>ethods.</w:t>
      </w:r>
      <w:r w:rsidR="009D2D08">
        <w:rPr>
          <w:rFonts w:ascii="Cambria" w:hAnsi="Cambria"/>
          <w:sz w:val="24"/>
          <w:szCs w:val="24"/>
        </w:rPr>
        <w:t xml:space="preserve"> </w:t>
      </w:r>
      <w:r w:rsidRPr="009D2D08">
        <w:rPr>
          <w:rFonts w:ascii="Cambria" w:hAnsi="Cambria"/>
          <w:sz w:val="24"/>
          <w:szCs w:val="24"/>
        </w:rPr>
        <w:t>We estimate mortality rates for deaths involving police by race and by census region using data on all police-involved deaths between 2013 and 2017. We estimate multilevel Bayesian Poisson models that adjust for unobserved geographic characteristics and allow for more predictive precision for rare events, such as law enforcement deaths.</w:t>
      </w:r>
    </w:p>
    <w:p w:rsidR="006019F7" w:rsidRPr="009D2D08" w:rsidRDefault="009D2D08" w:rsidP="00825945">
      <w:pPr>
        <w:spacing w:line="360" w:lineRule="auto"/>
        <w:rPr>
          <w:rFonts w:ascii="Cambria" w:hAnsi="Cambria"/>
          <w:sz w:val="24"/>
          <w:szCs w:val="24"/>
        </w:rPr>
      </w:pPr>
      <w:r w:rsidRPr="009D2D08">
        <w:rPr>
          <w:rFonts w:ascii="Cambria" w:hAnsi="Cambria"/>
          <w:b/>
          <w:sz w:val="24"/>
          <w:szCs w:val="24"/>
        </w:rPr>
        <w:t>Results.</w:t>
      </w:r>
      <w:r w:rsidR="006019F7" w:rsidRPr="009D2D08">
        <w:rPr>
          <w:rFonts w:ascii="Cambria" w:hAnsi="Cambria"/>
          <w:sz w:val="24"/>
          <w:szCs w:val="24"/>
        </w:rPr>
        <w:t xml:space="preserve"> Summarize mortality estimates. Summarize fit on observed. Summarize variatio</w:t>
      </w:r>
      <w:r w:rsidR="00C74E09">
        <w:rPr>
          <w:rFonts w:ascii="Cambria" w:hAnsi="Cambria"/>
          <w:sz w:val="24"/>
          <w:szCs w:val="24"/>
        </w:rPr>
        <w:t>n across places, races, metros.</w:t>
      </w:r>
    </w:p>
    <w:p w:rsidR="006019F7" w:rsidRPr="009D2D08" w:rsidRDefault="00C74E09" w:rsidP="00825945">
      <w:pPr>
        <w:spacing w:line="360" w:lineRule="auto"/>
        <w:rPr>
          <w:rFonts w:ascii="Cambria" w:hAnsi="Cambria"/>
          <w:sz w:val="24"/>
          <w:szCs w:val="24"/>
        </w:rPr>
      </w:pPr>
      <w:r w:rsidRPr="00C74E09">
        <w:rPr>
          <w:rFonts w:ascii="Cambria" w:hAnsi="Cambria"/>
          <w:b/>
          <w:sz w:val="24"/>
          <w:szCs w:val="24"/>
        </w:rPr>
        <w:t>Conclusions.</w:t>
      </w:r>
      <w:r w:rsidR="006019F7" w:rsidRPr="009D2D08">
        <w:rPr>
          <w:rFonts w:ascii="Cambria" w:hAnsi="Cambria"/>
          <w:sz w:val="24"/>
          <w:szCs w:val="24"/>
        </w:rPr>
        <w:t xml:space="preserve"> Abrupt statement</w:t>
      </w:r>
    </w:p>
    <w:p w:rsidR="006019F7" w:rsidRPr="009D2D08" w:rsidRDefault="006019F7" w:rsidP="00825945">
      <w:pPr>
        <w:spacing w:line="360" w:lineRule="auto"/>
        <w:rPr>
          <w:rFonts w:ascii="Cambria" w:hAnsi="Cambria"/>
          <w:sz w:val="24"/>
          <w:szCs w:val="24"/>
        </w:rPr>
      </w:pPr>
      <w:r w:rsidRPr="00C74E09">
        <w:rPr>
          <w:rFonts w:ascii="Cambria" w:hAnsi="Cambria"/>
          <w:b/>
          <w:sz w:val="24"/>
          <w:szCs w:val="24"/>
        </w:rPr>
        <w:t>Policy Implications.</w:t>
      </w:r>
      <w:r w:rsidRPr="009D2D08">
        <w:rPr>
          <w:rFonts w:ascii="Cambria" w:hAnsi="Cambria"/>
          <w:sz w:val="24"/>
          <w:szCs w:val="24"/>
        </w:rPr>
        <w:t xml:space="preserve"> Efforts to address should take race, place seriously. Clear mort risk for PoC, treat as pub health problem</w:t>
      </w:r>
    </w:p>
    <w:p w:rsidR="006019F7" w:rsidRPr="00B755B8" w:rsidRDefault="006019F7" w:rsidP="00825945">
      <w:pPr>
        <w:spacing w:line="360" w:lineRule="auto"/>
        <w:rPr>
          <w:rFonts w:ascii="Cambria" w:hAnsi="Cambria"/>
          <w:b/>
          <w:sz w:val="24"/>
          <w:szCs w:val="24"/>
        </w:rPr>
      </w:pPr>
      <w:r w:rsidRPr="00B755B8">
        <w:rPr>
          <w:rFonts w:ascii="Cambria" w:hAnsi="Cambria"/>
          <w:b/>
          <w:sz w:val="24"/>
          <w:szCs w:val="24"/>
        </w:rPr>
        <w:t>Introduction</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Violent and fatal interactions between law enforcement and people of color are a persistent feature of American social life</w:t>
      </w:r>
      <w:r w:rsidR="003D55AA">
        <w:rPr>
          <w:rFonts w:ascii="Cambria" w:hAnsi="Cambria"/>
          <w:sz w:val="24"/>
          <w:szCs w:val="24"/>
        </w:rPr>
        <w:t>.</w:t>
      </w:r>
      <w:r w:rsidR="00C469FA">
        <w:rPr>
          <w:rFonts w:ascii="Cambria" w:hAnsi="Cambria"/>
          <w:sz w:val="24"/>
          <w:szCs w:val="24"/>
        </w:rPr>
        <w:t xml:space="preserve"> </w:t>
      </w:r>
      <w:r w:rsidR="00C469FA">
        <w:rPr>
          <w:rFonts w:ascii="Cambria" w:hAnsi="Cambria"/>
          <w:sz w:val="24"/>
          <w:szCs w:val="24"/>
        </w:rPr>
        <w:fldChar w:fldCharType="begin"/>
      </w:r>
      <w:r w:rsidR="00693234">
        <w:rPr>
          <w:rFonts w:ascii="Cambria" w:hAnsi="Cambria"/>
          <w:sz w:val="24"/>
          <w:szCs w:val="24"/>
        </w:rPr>
        <w:instrText xml:space="preserve"> ADDIN ZOTERO_ITEM CSL_CITATION {"citationID":"2aquldjnc0","properties":{"formattedCitation":"{\\rtf \\super 1,2\\nosupersub{}}","plainCitation":"1,2"},"citationItems":[{"id":1066,"uris":["http://zotero.org/users/90577/items/6QR3MDSF"],"uri":["http://zotero.org/users/90577/items/6QR3MDSF"],"itemData":{"id":1066,"type":"book","title":"Warfare in the American Homeland: Policing and Prison in a Penal Democracy","publisher":"Duke University Press","publisher-place":"Durham","event-place":"Durham","ISBN":"978-0-8223-3909-0","editor":[{"family":"James","given":"Joy"}],"issued":{"date-parts":[["2007"]]}}},{"id":5176,"uris":["http://zotero.org/groups/876118/items/X7V2U44C"],"uri":["http://zotero.org/groups/876118/items/X7V2U44C"],"itemData":{"id":5176,"type":"article-journal","title":"Police Brutality and Black Health: Setting the Agenda for Public Health Scholars","container-title":"American Journal of Public Health","page":"662-665","volume":"107","issue":"5","source":"ajph.aphapublications.org (Atypon)","abstract":"We investigated links between police brutality and poor health outcomes among Blacks and identified five intersecting pathways: (1) fatal injuries that increase population-specific mortality rates; (2) adverse physiological responses that increase morbidity; (3) racist public reactions that cause stress; (4) arrests, incarcerations, and legal, medical, and funeral bills that cause financial strain; and (5) integrated oppressive structures that cause systematic disempowerment.Public health scholars should champion efforts to implement surveillance of police brutality and press funders to support research to understand the experiences of people faced with police brutality. We must ask whether our own research, teaching, and service are intentionally antiracist and challenge the institutions we work in to ask the same.To reduce racial health inequities, public health scholars must rigorously explore the relationship between police brutality and health, and advocate policies that address racist oppression.","DOI":"10.2105/AJPH.2017.303691","ISSN":"0090-0036","shortTitle":"Police Brutality and Black Health","journalAbbreviation":"Am J Public Health","author":[{"family":"Alang","given":"Sirry"},{"family":"McAlpine","given":"Donna"},{"family":"McCreedy","given":"Ellen"},{"family":"Hardeman","given":"Rachel"}],"issued":{"date-parts":[["2017",3,21]]}}}],"schema":"https://github.com/citation-style-language/schema/raw/master/csl-citation.json"} </w:instrText>
      </w:r>
      <w:r w:rsidR="00C469FA">
        <w:rPr>
          <w:rFonts w:ascii="Cambria" w:hAnsi="Cambria"/>
          <w:sz w:val="24"/>
          <w:szCs w:val="24"/>
        </w:rPr>
        <w:fldChar w:fldCharType="separate"/>
      </w:r>
      <w:r w:rsidR="00C469FA" w:rsidRPr="00C469FA">
        <w:rPr>
          <w:rFonts w:ascii="Cambria" w:hAnsi="Cambria" w:cs="Times New Roman"/>
          <w:sz w:val="24"/>
          <w:szCs w:val="24"/>
          <w:vertAlign w:val="superscript"/>
        </w:rPr>
        <w:t>1,2</w:t>
      </w:r>
      <w:r w:rsidR="00C469FA">
        <w:rPr>
          <w:rFonts w:ascii="Cambria" w:hAnsi="Cambria"/>
          <w:sz w:val="24"/>
          <w:szCs w:val="24"/>
        </w:rPr>
        <w:fldChar w:fldCharType="end"/>
      </w:r>
      <w:r w:rsidRPr="009D2D08">
        <w:rPr>
          <w:rFonts w:ascii="Cambria" w:hAnsi="Cambria"/>
          <w:sz w:val="24"/>
          <w:szCs w:val="24"/>
        </w:rPr>
        <w:t xml:space="preserve"> In response to the shortcomings of federal efforts to systematically document deaths involving police</w:t>
      </w:r>
      <w:r w:rsidR="002408D5">
        <w:rPr>
          <w:rFonts w:ascii="Cambria" w:hAnsi="Cambria"/>
          <w:sz w:val="24"/>
          <w:szCs w:val="24"/>
        </w:rPr>
        <w:t>,</w:t>
      </w:r>
      <w:r w:rsidR="003D55AA">
        <w:rPr>
          <w:rFonts w:ascii="Cambria" w:hAnsi="Cambria"/>
          <w:sz w:val="24"/>
          <w:szCs w:val="24"/>
        </w:rPr>
        <w:fldChar w:fldCharType="begin"/>
      </w:r>
      <w:r w:rsidR="00693234">
        <w:rPr>
          <w:rFonts w:ascii="Cambria" w:hAnsi="Cambria"/>
          <w:sz w:val="24"/>
          <w:szCs w:val="24"/>
        </w:rPr>
        <w:instrText xml:space="preserve"> ADDIN ZOTERO_ITEM CSL_CITATION {"citationID":"1e046ed2jr","properties":{"formattedCitation":"{\\rtf \\super 3\\nosupersub{}}","plainCitation":"3"},"citationItems":[{"id":5166,"uris":["http://zotero.org/groups/876118/items/9N2GVFKD"],"uri":["http://zotero.org/groups/876118/items/9N2GVFKD"],"itemData":{"id":5166,"type":"article-journal","title":"Police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instrText>
      </w:r>
      <w:r w:rsidR="003D55AA">
        <w:rPr>
          <w:rFonts w:ascii="Cambria" w:hAnsi="Cambria"/>
          <w:sz w:val="24"/>
          <w:szCs w:val="24"/>
        </w:rPr>
        <w:fldChar w:fldCharType="separate"/>
      </w:r>
      <w:r w:rsidR="003D55AA" w:rsidRPr="003D55AA">
        <w:rPr>
          <w:rFonts w:ascii="Cambria" w:hAnsi="Cambria" w:cs="Times New Roman"/>
          <w:sz w:val="24"/>
          <w:szCs w:val="24"/>
          <w:vertAlign w:val="superscript"/>
        </w:rPr>
        <w:t>3</w:t>
      </w:r>
      <w:r w:rsidR="003D55AA">
        <w:rPr>
          <w:rFonts w:ascii="Cambria" w:hAnsi="Cambria"/>
          <w:sz w:val="24"/>
          <w:szCs w:val="24"/>
        </w:rPr>
        <w:fldChar w:fldCharType="end"/>
      </w:r>
      <w:r w:rsidR="003D55AA">
        <w:rPr>
          <w:rFonts w:ascii="Cambria" w:hAnsi="Cambria"/>
          <w:sz w:val="24"/>
          <w:szCs w:val="24"/>
        </w:rPr>
        <w:t xml:space="preserve"> </w:t>
      </w:r>
      <w:r w:rsidRPr="009D2D08">
        <w:rPr>
          <w:rFonts w:ascii="Cambria" w:hAnsi="Cambria"/>
          <w:sz w:val="24"/>
          <w:szCs w:val="24"/>
        </w:rPr>
        <w:t>newspapers and journalists have undertaken a series of systematic efforts to provide comprehensive data on fatalities resulting from interactions between police and the public.</w:t>
      </w:r>
      <w:r w:rsidR="003D55AA">
        <w:rPr>
          <w:rFonts w:ascii="Cambria" w:hAnsi="Cambria"/>
          <w:sz w:val="24"/>
          <w:szCs w:val="24"/>
        </w:rPr>
        <w:fldChar w:fldCharType="begin"/>
      </w:r>
      <w:r w:rsidR="00693234">
        <w:rPr>
          <w:rFonts w:ascii="Cambria" w:hAnsi="Cambria"/>
          <w:sz w:val="24"/>
          <w:szCs w:val="24"/>
        </w:rPr>
        <w:instrText xml:space="preserve"> ADDIN ZOTERO_ITEM CSL_CITATION {"citationID":"263im2keil","properties":{"formattedCitation":"{\\rtf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3D55AA">
        <w:rPr>
          <w:rFonts w:ascii="Cambria" w:hAnsi="Cambria"/>
          <w:sz w:val="24"/>
          <w:szCs w:val="24"/>
        </w:rPr>
        <w:fldChar w:fldCharType="separate"/>
      </w:r>
      <w:r w:rsidR="003D55AA" w:rsidRPr="003D55AA">
        <w:rPr>
          <w:rFonts w:ascii="Cambria" w:hAnsi="Cambria" w:cs="Times New Roman"/>
          <w:sz w:val="24"/>
          <w:szCs w:val="24"/>
          <w:vertAlign w:val="superscript"/>
        </w:rPr>
        <w:t>4</w:t>
      </w:r>
      <w:r w:rsidR="003D55AA">
        <w:rPr>
          <w:rFonts w:ascii="Cambria" w:hAnsi="Cambria"/>
          <w:sz w:val="24"/>
          <w:szCs w:val="24"/>
        </w:rPr>
        <w:fldChar w:fldCharType="end"/>
      </w:r>
      <w:r w:rsidRPr="009D2D08">
        <w:rPr>
          <w:rFonts w:ascii="Cambria" w:hAnsi="Cambria"/>
          <w:sz w:val="24"/>
          <w:szCs w:val="24"/>
        </w:rPr>
        <w:t xml:space="preserve"> This analysis utilizes these new data to provide estimates of mortality risk from interactions with police by race and place.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Race, place, and policing are important social determinants of health.</w:t>
      </w:r>
      <w:r w:rsidR="006A3A01">
        <w:rPr>
          <w:rFonts w:ascii="Cambria" w:hAnsi="Cambria"/>
          <w:sz w:val="24"/>
          <w:szCs w:val="24"/>
        </w:rPr>
        <w:fldChar w:fldCharType="begin"/>
      </w:r>
      <w:r w:rsidR="00693234">
        <w:rPr>
          <w:rFonts w:ascii="Cambria" w:hAnsi="Cambria"/>
          <w:sz w:val="24"/>
          <w:szCs w:val="24"/>
        </w:rPr>
        <w:instrText xml:space="preserve"> ADDIN ZOTERO_ITEM CSL_CITATION {"citationID":"abvn56avd","properties":{"formattedCitation":"{\\rtf \\super 5\\uc0\\u8211{}7\\nosupersub{}}","plainCitation":"5–7"},"citationItems":[{"id":5164,"uris":["http://zotero.org/groups/876118/items/66RQZUHZ"],"uri":["http://zotero.org/groups/876118/items/66RQZUHZ"],"itemData":{"id":5164,"type":"article-journal","title":"Editorial: Excessive Police Violence as a Public Health Issue","container-title":"Journal of Urban Health","page":"1-7","volume":"93","issue":"1","source":"link.springer.com","DOI":"10.1007/s11524-016-0040-2","ISSN":"1099-3460, 1468-2869","shortTitle":"Editorial","journalAbbreviation":"J Urban Health","language":"en","author":[{"family":"Cooper","given":"Hannah L. F."},{"family":"Fullilove","given":"Mindy"}],"issued":{"date-parts":[["2016",4,1]]}}},{"id":5171,"uris":["http://zotero.org/groups/876118/items/HMU84DBZ"],"uri":["http://zotero.org/groups/876118/items/HMU84DBZ"],"itemData":{"id":5171,"type":"article-journal","title":"Assessing Homicides by and of U.S. Law-Enforcement Officers","container-title":"New England Journal of Medicine","page":"1509-1511","volume":"375","issue":"16","source":"Taylor and Francis+NEJM","abstract":"“Legal intervention deaths” of civilians — cases in which someone is killed by a law-enforcement or other peace officer while that officer is on duty — and occupational homicides of law-enforcement officers have garnered increasing attention in the United States, owing to numerous recent high-profile incidents. These events are not only devastating to the victims’ families and the directly affected communities or neighborhoods; they also erode the relationship between law-enforcement agencies and the diverse populations they serve. Though these killings account for a small percentage of total U.S. homicides, they represent a significant public health burden and can incite further . . .","DOI":"10.1056/NEJMp1609905","ISSN":"0028-4793","note":"PMID: 27537352","author":[{"family":"Crosby","given":"Alex E."},{"family":"Lyons","given":"Bridget"}],"issued":{"date-parts":[["2016",10,20]]}}},{"id":5174,"uris":["http://zotero.org/groups/876118/items/TQH4QGMN"],"uri":["http://zotero.org/groups/876118/items/TQH4QGMN"],"itemData":{"id":5174,"type":"article-journal","title":"A Research Agenda for Racial Equity: Applications of the Ferguson Commission Report to Public Health","container-title":"American Journal of Public Health","page":"1926-1931","volume":"106","issue":"11","source":"ajph.aphapublications.org (Atypon)","abstract":"The Ferguson Commission was an independent body of 16 commissioners in operation from November 2014 to December 2015 and appointed by Missouri governor Jay Nixon to examine the root causes underlying the death of Michael Brown Jr.Its report, “Forward Through Ferguson: A Path Toward Racial Equity,” raises many issues on racial equity that public health is well suited to address, such as trends in police use of force, the health implications of the school-based discipline gap, and the health benefits of a coordinated housing strategy.Public health can also learn from the principles the commission adopted, including being unflinching in the questions asked and conclusions drawn, applying a racial equity lens to public health work, and moving beyond programmatic solutions to policy solutions.","DOI":"10.2105/AJPH.2016.303390","ISSN":"0090-0036","shortTitle":"A Research Agenda for Racial Equity","journalAbbreviation":"Am J Public Health","author":[{"family":"Furtado","given":"Karishma"},{"family":"Banks","given":"Kira Hudson"}],"issued":{"date-parts":[["2016",9,15]]}}}],"schema":"https://github.com/citation-style-language/schema/raw/master/csl-citation.json"} </w:instrText>
      </w:r>
      <w:r w:rsidR="006A3A01">
        <w:rPr>
          <w:rFonts w:ascii="Cambria" w:hAnsi="Cambria"/>
          <w:sz w:val="24"/>
          <w:szCs w:val="24"/>
        </w:rPr>
        <w:fldChar w:fldCharType="separate"/>
      </w:r>
      <w:r w:rsidR="006A3A01" w:rsidRPr="006A3A01">
        <w:rPr>
          <w:rFonts w:ascii="Cambria" w:hAnsi="Cambria" w:cs="Times New Roman"/>
          <w:sz w:val="24"/>
          <w:szCs w:val="24"/>
          <w:vertAlign w:val="superscript"/>
        </w:rPr>
        <w:t>5–7</w:t>
      </w:r>
      <w:r w:rsidR="006A3A01">
        <w:rPr>
          <w:rFonts w:ascii="Cambria" w:hAnsi="Cambria"/>
          <w:sz w:val="24"/>
          <w:szCs w:val="24"/>
        </w:rPr>
        <w:fldChar w:fldCharType="end"/>
      </w:r>
      <w:r w:rsidRPr="009D2D08">
        <w:rPr>
          <w:rFonts w:ascii="Cambria" w:hAnsi="Cambria"/>
          <w:sz w:val="24"/>
          <w:szCs w:val="24"/>
        </w:rPr>
        <w:t xml:space="preserve"> Prior research has clearly established that African Americans are at higher risk of death in interactions with law enforcement</w:t>
      </w:r>
      <w:r w:rsidR="00DE632F">
        <w:rPr>
          <w:rFonts w:ascii="Cambria" w:hAnsi="Cambria"/>
          <w:sz w:val="24"/>
          <w:szCs w:val="24"/>
        </w:rPr>
        <w:t xml:space="preserve"> </w:t>
      </w:r>
      <w:r w:rsidR="00DE632F">
        <w:rPr>
          <w:rFonts w:ascii="Cambria" w:hAnsi="Cambria"/>
          <w:sz w:val="24"/>
          <w:szCs w:val="24"/>
        </w:rPr>
        <w:fldChar w:fldCharType="begin"/>
      </w:r>
      <w:r w:rsidR="00693234">
        <w:rPr>
          <w:rFonts w:ascii="Cambria" w:hAnsi="Cambria"/>
          <w:sz w:val="24"/>
          <w:szCs w:val="24"/>
        </w:rPr>
        <w:instrText xml:space="preserve"> ADDIN ZOTERO_ITEM CSL_CITATION {"citationID":"28l6n8oqbe","properties":{"formattedCitation":"{\\rtf \\super 8,9\\nosupersub{}}","plainCitation":"8,9"},"citationItems":[{"id":5199,"uris":["http://zotero.org/groups/876118/items/JH4GBGSP"],"uri":["http://zotero.org/groups/876118/items/JH4GBGSP"],"itemData":{"id":5199,"type":"article-journal","title":"Trends in US deaths due to legal intervention among black and white men, age 15–34 years, by county income level: 1960–2010","container-title":"Harvard Public Health Review","page":"1–5","volume":"3","source":"Google Scholar","shortTitle":"Trends in US deaths due to legal intervention among black and white men, age 15–34 years, by county income level","author":[{"family":"Krieger","given":"Nancy"},{"family":"Kiang","given":"Mathew V."},{"family":"Chen","given":"Jarvis T."},{"family":"Waterman","given":"Pamela D."}],"issued":{"date-parts":[["2015"]]}}},{"id":4912,"uris":["http://zotero.org/groups/876118/items/IBTVX6JF"],"uri":["http://zotero.org/groups/876118/items/IBTVX6JF"],"itemData":{"id":4912,"type":"article-journal","title":"State-level variation in the imprisonment-mortality relationship, 2001- 2010","container-title":"Demographic research","page":"359–372","volume":"34","source":"Google Scholar","author":[{"family":"Wildeman","given":"Christopher"},{"family":"Noonan","given":"Margaret E."},{"family":"Golinelli","given":"Daniela"},{"family":"Carson","given":"E. Ann"},{"family":"Emanuel","given":"Natalia"}],"issued":{"date-parts":[["2016"]]}}}],"schema":"https://github.com/citation-style-language/schema/raw/master/csl-citation.json"} </w:instrText>
      </w:r>
      <w:r w:rsidR="00DE632F">
        <w:rPr>
          <w:rFonts w:ascii="Cambria" w:hAnsi="Cambria"/>
          <w:sz w:val="24"/>
          <w:szCs w:val="24"/>
        </w:rPr>
        <w:fldChar w:fldCharType="separate"/>
      </w:r>
      <w:r w:rsidR="00DE632F" w:rsidRPr="00DE632F">
        <w:rPr>
          <w:rFonts w:ascii="Cambria" w:hAnsi="Cambria" w:cs="Times New Roman"/>
          <w:sz w:val="24"/>
          <w:szCs w:val="24"/>
          <w:vertAlign w:val="superscript"/>
        </w:rPr>
        <w:t>8,9</w:t>
      </w:r>
      <w:r w:rsidR="00DE632F">
        <w:rPr>
          <w:rFonts w:ascii="Cambria" w:hAnsi="Cambria"/>
          <w:sz w:val="24"/>
          <w:szCs w:val="24"/>
        </w:rPr>
        <w:fldChar w:fldCharType="end"/>
      </w:r>
      <w:r w:rsidR="00DE632F">
        <w:rPr>
          <w:rFonts w:ascii="Cambria" w:hAnsi="Cambria"/>
          <w:sz w:val="24"/>
          <w:szCs w:val="24"/>
        </w:rPr>
        <w:t xml:space="preserve"> </w:t>
      </w:r>
      <w:r w:rsidRPr="009D2D08">
        <w:rPr>
          <w:rFonts w:ascii="Cambria" w:hAnsi="Cambria"/>
          <w:sz w:val="24"/>
          <w:szCs w:val="24"/>
        </w:rPr>
        <w:t xml:space="preserve">and has demonstrated clear links between race, place and </w:t>
      </w:r>
      <w:r w:rsidR="0039312C">
        <w:rPr>
          <w:rFonts w:ascii="Cambria" w:hAnsi="Cambria"/>
          <w:sz w:val="24"/>
          <w:szCs w:val="24"/>
        </w:rPr>
        <w:t>mortality.</w:t>
      </w:r>
      <w:r w:rsidR="0039312C">
        <w:rPr>
          <w:rFonts w:ascii="Cambria" w:hAnsi="Cambria"/>
          <w:sz w:val="24"/>
          <w:szCs w:val="24"/>
        </w:rPr>
        <w:fldChar w:fldCharType="begin"/>
      </w:r>
      <w:r w:rsidR="00693234">
        <w:rPr>
          <w:rFonts w:ascii="Cambria" w:hAnsi="Cambria"/>
          <w:sz w:val="24"/>
          <w:szCs w:val="24"/>
        </w:rPr>
        <w:instrText xml:space="preserve"> ADDIN ZOTERO_ITEM CSL_CITATION {"citationID":"1o0blp5b51","properties":{"formattedCitation":"{\\rtf \\super 10\\nosupersub{}}","plainCitation":"10"},"citationItems":[{"id":5200,"uris":["http://zotero.org/groups/876118/items/TEKJGSXS"],"uri":["http://zotero.org/groups/876118/items/TEKJGSXS"],"itemData":{"id":5200,"type":"article-journal","title":"Inequalities in Life Expectancy Among US Counties, 1980 to 2014: Temporal Trends and Key Drivers","container-title":"JAMA Internal Medicine","source":"jamanetwork.com","abstract":"&lt;h3&gt;Importance&lt;/h3&gt;&lt;p&gt;Examining life expectancy by county allows for tracking geographic disparities over time and assessing factors related to these disparities. This information is potentially useful for policy makers, clinicians, and researchers seeking to reduce disparities and increase longevity.&lt;/p&gt;&lt;h3&gt;Objective&lt;/h3&gt;&lt;p&gt;To estimate annual life tables by county from 1980 to 2014; describe trends in geographic inequalities in life expectancy and age-specific risk of death; and assess the proportion of variation in life expectancy explained by variation in socioeconomic and race/ethnicity factors, behavioral and metabolic risk factors, and health care factors.&lt;/p&gt;&lt;h3&gt;Design, Setting, and Participants&lt;/h3&gt;&lt;p&gt;Annual county-level life tables were constructed using small area estimation methods from deidentified death records from the National Center for Health Statistics (NCHS), and population counts from the US Census Bureau, NCHS, and the Human Mortality Database. Measures of geographic inequality in life expectancy and age-specific mortality risk were calculated. Principal component analysis and ordinary least squares regression were used to examine the county-level association between life expectancy and socioeconomic and race/ethnicity factors, behavioral and metabolic risk factors, and health care factors.&lt;/p&gt;&lt;h3&gt;Exposures&lt;/h3&gt;&lt;p&gt;County of residence.&lt;/p&gt;&lt;h3&gt;Main Outcomes and Measures&lt;/h3&gt;&lt;p&gt;Life expectancy at birth and age-specific mortality risk.&lt;/p&gt;&lt;h3&gt;Results&lt;/h3&gt;&lt;p&gt;Counties were combined as needed to create stable units of analysis over the period 1980 to 2014, reducing the number of areas analyzed from 3142 to 3110. In 2014, life expectancy at birth for both sexes combined was 79.1 (95% uncertainty interval [UI], 79.0-79.1) years overall, but differed by 20.1 (95% UI, 19.1-21.3) years between the counties with the lowest and highest life expectancy. Absolute geographic inequality in life expectancy increased between 1980 and 2014. Over the same period, absolute geographic inequality in the risk of death decreased among children and adolescents, but increased among older adults. Socioeconomic and race/ethnicity factors, behavioral and metabolic risk factors, and health care factors explained 60%, 74%, and 27% of county-level variation in life expectancy, respectively. Combined, these factors explained 74% of this variation. Most of the association between socioeconomic and race/ethnicity factors and life expectancy was mediated through behavioral and metabolic risk factors.&lt;/p&gt;&lt;h3&gt;Conclusions and Relevance&lt;/h3&gt;&lt;p&gt;Geographic disparities in life expectancy among US counties are large and increasing. Much of the variation in life expectancy among counties can be explained by a combination of socioeconomic and race/ethnicity factors, behavioral and metabolic risk factors, and health care factors. Policy action targeting socioeconomic factors and behavioral and metabolic risk factors may help reverse the trend of increasing disparities in life expectancy in the United States.&lt;/p&gt;","URL":"http://jamanetwork.com/journals/jamainternalmedicine/fullarticle/2626194","DOI":"10.1001/jamainternmed.2017.0918","shortTitle":"Inequalities in Life Expectancy Among US Counties, 1980 to 2014","journalAbbreviation":"JAMA Intern Med","author":[{"family":"Dwyer-Lindgren","given":"Laura"},{"family":"Bertozzi-Villa","given":"Amelia"},{"family":"Stubbs","given":"Rebecca W."},{"family":"Morozoff","given":"Chloe"},{"family":"Mackenbach","given":"Johan P."},{"family":"Lenthe","given":"Frank J.","dropping-particle":"van"},{"family":"Mokdad","given":"Ali H."},{"family":"Murray","given":"Christopher J. L."}],"issued":{"date-parts":[["2017",5,8]]},"accessed":{"date-parts":[["2017",5,25]]}}}],"schema":"https://github.com/citation-style-language/schema/raw/master/csl-citation.json"} </w:instrText>
      </w:r>
      <w:r w:rsidR="0039312C">
        <w:rPr>
          <w:rFonts w:ascii="Cambria" w:hAnsi="Cambria"/>
          <w:sz w:val="24"/>
          <w:szCs w:val="24"/>
        </w:rPr>
        <w:fldChar w:fldCharType="separate"/>
      </w:r>
      <w:r w:rsidR="0039312C" w:rsidRPr="0039312C">
        <w:rPr>
          <w:rFonts w:ascii="Cambria" w:hAnsi="Cambria" w:cs="Times New Roman"/>
          <w:sz w:val="24"/>
          <w:szCs w:val="24"/>
          <w:vertAlign w:val="superscript"/>
        </w:rPr>
        <w:t>10</w:t>
      </w:r>
      <w:r w:rsidR="0039312C">
        <w:rPr>
          <w:rFonts w:ascii="Cambria" w:hAnsi="Cambria"/>
          <w:sz w:val="24"/>
          <w:szCs w:val="24"/>
        </w:rPr>
        <w:fldChar w:fldCharType="end"/>
      </w:r>
      <w:r w:rsidRPr="009D2D08">
        <w:rPr>
          <w:rFonts w:ascii="Cambria" w:hAnsi="Cambria"/>
          <w:sz w:val="24"/>
          <w:szCs w:val="24"/>
        </w:rPr>
        <w:t xml:space="preserve"> The legal, cultural, and institutional environments </w:t>
      </w:r>
      <w:r w:rsidR="002408D5">
        <w:rPr>
          <w:rFonts w:ascii="Cambria" w:hAnsi="Cambria"/>
          <w:sz w:val="24"/>
          <w:szCs w:val="24"/>
        </w:rPr>
        <w:t>that structure</w:t>
      </w:r>
      <w:r w:rsidRPr="009D2D08">
        <w:rPr>
          <w:rFonts w:ascii="Cambria" w:hAnsi="Cambria"/>
          <w:sz w:val="24"/>
          <w:szCs w:val="24"/>
        </w:rPr>
        <w:t xml:space="preserve"> relationships between police and communities of color are tightly coupled with geography</w:t>
      </w:r>
      <w:r w:rsidR="002408D5">
        <w:rPr>
          <w:rFonts w:ascii="Cambria" w:hAnsi="Cambria"/>
          <w:sz w:val="24"/>
          <w:szCs w:val="24"/>
        </w:rPr>
        <w:t>,</w:t>
      </w:r>
      <w:r w:rsidR="002408D5">
        <w:rPr>
          <w:rFonts w:ascii="Cambria" w:hAnsi="Cambria"/>
          <w:sz w:val="24"/>
          <w:szCs w:val="24"/>
        </w:rPr>
        <w:fldChar w:fldCharType="begin"/>
      </w:r>
      <w:r w:rsidR="00693234">
        <w:rPr>
          <w:rFonts w:ascii="Cambria" w:hAnsi="Cambria"/>
          <w:sz w:val="24"/>
          <w:szCs w:val="24"/>
        </w:rPr>
        <w:instrText xml:space="preserve"> ADDIN ZOTERO_ITEM CSL_CITATION {"citationID":"2b75k2bif2","properties":{"formattedCitation":"{\\rtf \\super 11,12\\nosupersub{}}","plainCitation":"11,12"},"citationItems":[{"id":4942,"uris":["http://zotero.org/users/90577/items/3KKCT2GI"],"uri":["http://zotero.org/users/90577/items/3KKCT2GI"],"itemData":{"id":4942,"type":"article-journal","title":"Policing,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schema":"https://github.com/citation-style-language/schema/raw/master/csl-citation.json"} </w:instrText>
      </w:r>
      <w:r w:rsidR="002408D5">
        <w:rPr>
          <w:rFonts w:ascii="Cambria" w:hAnsi="Cambria"/>
          <w:sz w:val="24"/>
          <w:szCs w:val="24"/>
        </w:rPr>
        <w:fldChar w:fldCharType="separate"/>
      </w:r>
      <w:r w:rsidR="002408D5" w:rsidRPr="002408D5">
        <w:rPr>
          <w:rFonts w:ascii="Cambria" w:hAnsi="Cambria" w:cs="Times New Roman"/>
          <w:sz w:val="24"/>
          <w:szCs w:val="24"/>
          <w:vertAlign w:val="superscript"/>
        </w:rPr>
        <w:t>11,12</w:t>
      </w:r>
      <w:r w:rsidR="002408D5">
        <w:rPr>
          <w:rFonts w:ascii="Cambria" w:hAnsi="Cambria"/>
          <w:sz w:val="24"/>
          <w:szCs w:val="24"/>
        </w:rPr>
        <w:fldChar w:fldCharType="end"/>
      </w:r>
      <w:r w:rsidR="002408D5">
        <w:rPr>
          <w:rFonts w:ascii="Cambria" w:hAnsi="Cambria"/>
          <w:sz w:val="24"/>
          <w:szCs w:val="24"/>
        </w:rPr>
        <w:t xml:space="preserve"> suggesting that the relationship between policing, race, and mortality may be heterogenous</w:t>
      </w:r>
      <w:r w:rsidR="00A0718E">
        <w:rPr>
          <w:rFonts w:ascii="Cambria" w:hAnsi="Cambria"/>
          <w:sz w:val="24"/>
          <w:szCs w:val="24"/>
        </w:rPr>
        <w:t xml:space="preserve"> across places</w:t>
      </w:r>
      <w:r w:rsidRPr="009D2D08">
        <w:rPr>
          <w:rFonts w:ascii="Cambria" w:hAnsi="Cambria"/>
          <w:sz w:val="24"/>
          <w:szCs w:val="24"/>
        </w:rPr>
        <w:t>. In this paper, we show how geography and race interact to produce variable risks for mortality in encounters with law enforcement for people of color.</w:t>
      </w:r>
    </w:p>
    <w:p w:rsidR="006019F7" w:rsidRDefault="006019F7" w:rsidP="00825945">
      <w:pPr>
        <w:spacing w:line="360" w:lineRule="auto"/>
        <w:rPr>
          <w:rFonts w:ascii="Cambria" w:hAnsi="Cambria"/>
          <w:b/>
          <w:sz w:val="24"/>
          <w:szCs w:val="24"/>
        </w:rPr>
      </w:pPr>
      <w:r w:rsidRPr="00B755B8">
        <w:rPr>
          <w:rFonts w:ascii="Cambria" w:hAnsi="Cambria"/>
          <w:b/>
          <w:sz w:val="24"/>
          <w:szCs w:val="24"/>
        </w:rPr>
        <w:lastRenderedPageBreak/>
        <w:t>Background</w:t>
      </w:r>
    </w:p>
    <w:p w:rsidR="00894D23" w:rsidRDefault="009204CB" w:rsidP="00894D23">
      <w:pPr>
        <w:spacing w:line="360" w:lineRule="auto"/>
        <w:rPr>
          <w:rFonts w:ascii="Cambria" w:hAnsi="Cambria"/>
          <w:sz w:val="24"/>
          <w:szCs w:val="24"/>
        </w:rPr>
      </w:pPr>
      <w:r>
        <w:rPr>
          <w:rFonts w:ascii="Cambria" w:hAnsi="Cambria"/>
          <w:sz w:val="24"/>
          <w:szCs w:val="24"/>
        </w:rPr>
        <w:t>Police violence has been a historically constant grievance of African American led social movements.</w:t>
      </w:r>
      <w:r w:rsidR="00424ABE">
        <w:rPr>
          <w:rFonts w:ascii="Cambria" w:hAnsi="Cambria"/>
          <w:sz w:val="24"/>
          <w:szCs w:val="24"/>
        </w:rPr>
        <w:fldChar w:fldCharType="begin"/>
      </w:r>
      <w:r w:rsidR="00424ABE">
        <w:rPr>
          <w:rFonts w:ascii="Cambria" w:hAnsi="Cambria"/>
          <w:sz w:val="24"/>
          <w:szCs w:val="24"/>
        </w:rPr>
        <w:instrText xml:space="preserve"> ADDIN ZOTERO_ITEM CSL_CITATION {"citationID":"a1io0v95tpf","properties":{"formattedCitation":"{\\rtf \\super 13,14\\nosupersub{}}","plainCitation":"13,14"},"citationItems":[{"id":5213,"uris":["http://zotero.org/groups/876118/items/K5EVARCT"],"uri":["http://zotero.org/groups/876118/items/K5EVARCT"],"itemData":{"id":5213,"type":"book","title":"From #Blacklivesmatter to Black Liberation","publisher":"Haymarket Books","publisher-place":"Chicago, IL","source":"Google Scholar","event-place":"Chicago, IL","URL":"http://books.google.com/books?hl=en&amp;lr=&amp;id=kB6GCwAAQBAJ&amp;oi=fnd&amp;pg=PP1&amp;dq=info:yeks29K_9EsJ:scholar.google.com&amp;ots=7nFWOwQAmI&amp;sig=AoZajxVueZ3-TeIrHroAbuKY-WE","author":[{"family":"Taylor","given":"Keeanga-Yamahtta"}],"issued":{"date-parts":[["2016"]]}}},{"id":5212,"uris":["http://zotero.org/groups/876118/items/RMBFSA2Z"],"uri":["http://zotero.org/groups/876118/items/RMBFSA2Z"],"itemData":{"id":5212,"type":"article-journal","title":"“The Public Does Not Believe the Police Can Police Themselves”: The Mayoral Administration of Harold Washington and the Problem of Police Impunity","container-title":"Journal of Urban History","page":"0096144217705490","source":"SAGE Journals","abstract":"The article examines the tenure of Harold Washington, Chicago’s first black mayor, and his relationship to the Chicago Police Department (CPD). It suggests that while police accountability had been a long-standing goal of Washington and his allies, he failed to sufficiently address the impunity of the CPD once elected. From the outset, the Washington administration exemplified this contradiction by appointing the police department’s first black superintendent, but one who would leave in place a failed structure of a police accountability that made it possible to cover up an ongoing pattern of police torture and coerced confessions. These cases of police torture throw into relief the obstacles faced by this first generation of black mayors who attempted to uproot the institutional underpinnings of police impunity amid the emergence of mass incarceration.","DOI":"10.1177/0096144217705490","ISSN":"0096-1442","shortTitle":"“The Public Does Not Believe the Police Can Police Themselves”","journalAbbreviation":"Journal of Urban History","language":"en","author":[{"family":"Losier","given":"Toussaint"}],"issued":{"date-parts":[["2017",5,26]]}}}],"schema":"https://github.com/citation-style-language/schema/raw/master/csl-citation.json"} </w:instrText>
      </w:r>
      <w:r w:rsidR="00424ABE">
        <w:rPr>
          <w:rFonts w:ascii="Cambria" w:hAnsi="Cambria"/>
          <w:sz w:val="24"/>
          <w:szCs w:val="24"/>
        </w:rPr>
        <w:fldChar w:fldCharType="separate"/>
      </w:r>
      <w:r w:rsidR="00424ABE" w:rsidRPr="00424ABE">
        <w:rPr>
          <w:rFonts w:ascii="Cambria" w:hAnsi="Cambria" w:cs="Times New Roman"/>
          <w:sz w:val="24"/>
          <w:szCs w:val="24"/>
          <w:vertAlign w:val="superscript"/>
        </w:rPr>
        <w:t>13,14</w:t>
      </w:r>
      <w:r w:rsidR="00424ABE">
        <w:rPr>
          <w:rFonts w:ascii="Cambria" w:hAnsi="Cambria"/>
          <w:sz w:val="24"/>
          <w:szCs w:val="24"/>
        </w:rPr>
        <w:fldChar w:fldCharType="end"/>
      </w:r>
      <w:r>
        <w:rPr>
          <w:rFonts w:ascii="Cambria" w:hAnsi="Cambria"/>
          <w:sz w:val="24"/>
          <w:szCs w:val="24"/>
        </w:rPr>
        <w:t xml:space="preserve"> Recently, Black Lives Matter organizers have argued that the deaths of Michael Brown, Sandra Bland, Philando Castille, Tamir Rice, Laquan McDonald, Eric Garner, Charleena Lyles, and many others illustrate a systematic disregard for the safety and basic humanity of African Americans among law enforcement officials and the broader polity. </w:t>
      </w:r>
      <w:r w:rsidR="00F52E66">
        <w:rPr>
          <w:rFonts w:ascii="Cambria" w:hAnsi="Cambria"/>
          <w:sz w:val="24"/>
          <w:szCs w:val="24"/>
        </w:rPr>
        <w:t xml:space="preserve">An increasing volume of social scientific research indicates that Black people </w:t>
      </w:r>
      <w:r w:rsidR="00E9339F">
        <w:rPr>
          <w:rFonts w:ascii="Cambria" w:hAnsi="Cambria"/>
          <w:sz w:val="24"/>
          <w:szCs w:val="24"/>
        </w:rPr>
        <w:t>far more likely to die in interaction with law enforcement than are whites,</w:t>
      </w:r>
      <w:r w:rsidR="00693234">
        <w:rPr>
          <w:rFonts w:ascii="Cambria" w:hAnsi="Cambria"/>
          <w:sz w:val="24"/>
          <w:szCs w:val="24"/>
        </w:rPr>
        <w:fldChar w:fldCharType="begin"/>
      </w:r>
      <w:r w:rsidR="00424ABE">
        <w:rPr>
          <w:rFonts w:ascii="Cambria" w:hAnsi="Cambria"/>
          <w:sz w:val="24"/>
          <w:szCs w:val="24"/>
        </w:rPr>
        <w:instrText xml:space="preserve"> ADDIN ZOTERO_ITEM CSL_CITATION {"citationID":"r7wtGc31","properties":{"formattedCitation":"{\\rtf \\super 8,15,16\\nosupersub{}}","plainCitation":"8,15,16"},"citationItems":[{"id":5165,"uris":["http://zotero.org/groups/876118/items/6IBMDR5P"],"uri":["http://zotero.org/groups/876118/items/6IBMDR5P"],"itemData":{"id":5165,"type":"article-journal","title":"Deaths Due to Use of Lethal Force by Law Enforcement: Findings From the National Violent Death Reporting System, 17 U.S. States, 2009–2012","container-title":"American Journal of Preventive Medicine","collection-title":"National Violent Death Reporting System: Analyses and Commentary","page":"S173-S187","volume":"51","issue":"5, Supplement 3","source":"ScienceDirect","abstract":"Introduction\nSeveral high-profile cases in the U.S. have drawn public attention to the use of lethal force by law enforcement (LE), yet research on such fatalities is limited. Using data from a public health surveillance system, this study examined the characteristics and circumstances of these violent deaths to inform prevention.\nMethods\nAll fatalities (N=812) resulting from use of lethal force by on-duty LE from 2009 to 2012 in 17 U.S. states were examined using National Violent Death Reporting System data. Case narratives were coded for additional incident circumstances.\nResults\nVictims were majority white (52%) but disproportionately black (32%) with a fatality rate 2.8 times higher among blacks than whites. Most victims were reported to be armed (83%); however, black victims were more likely to be unarmed (14.8%) than white (9.4%) or Hispanic (5.8%) victims. Fatality rates among military veterans/active duty service members were 1.4 times greater than among their civilian counterparts. Four case subtypes were examined based on themes that emerged in incident narratives: about 22% of cases were mental health related; 18% were suspected “suicide by cop” incidents, with white victims more likely than black or Hispanic victims to die in these circumstances; 14% involved intimate partner violence; and about 6% were unintentional deaths due to LE action. Another 53% of cases were unclassified and did not fall into a coded subtype. Regression analyses identified victim and incident characteristics associated with each case subtype and unclassified cases.\nConclusions\nKnowledge about circumstances of deaths due to the use of lethal force can inform the development of prevention strategies, improve risk assessment, and modify LE response to increase the safety of communities and officers and prevent fatalities associated with LE intervention.","DOI":"10.1016/j.amepre.2016.08.027","ISSN":"0749-3797","shortTitle":"Deaths Due to Use of Lethal Force by Law Enforcement","journalAbbreviation":"American Journal of Preventive Medicine","author":[{"family":"DeGue","given":"Sarah"},{"family":"Fowler","given":"Katherine A."},{"family":"Calkins","given":"Cynthia"}],"issued":{"date-parts":[["2016",11]]}}},{"id":5199,"uris":["http://zotero.org/groups/876118/items/JH4GBGSP"],"uri":["http://zotero.org/groups/876118/items/JH4GBGSP"],"itemData":{"id":5199,"type":"article-journal","title":"Trends in US deaths due to legal intervention among black and white men, age 15–34 years, by county income level: 1960–2010","container-title":"Harvard Public Health Review","page":"1–5","volume":"3","source":"Google Scholar","shortTitle":"Trends in US deaths due to legal intervention among black and white men, age 15–34 years, by county income level","author":[{"family":"Krieger","given":"Nancy"},{"family":"Kiang","given":"Mathew V."},{"family":"Chen","given":"Jarvis T."},{"family":"Waterman","given":"Pamela D."}],"issued":{"date-parts":[["2015"]]}}},{"id":5167,"uris":["http://zotero.org/groups/876118/items/C4NH24P2"],"uri":["http://zotero.org/groups/876118/items/C4NH24P2"],"itemData":{"id":5167,"type":"article-journal","title":"Perils of police action: a cautionary tale from US data sets","container-title":"Injury Prevention","page":"27-32","volume":"23","issue":"1","source":"injuryprevention.bmj.com","abstract":"Objective To count and characterise injuries resulting from legal intervention by US law enforcement personnel and injury ratios per 10 000 arrests or police stops, thus expanding discussion of excessive force by police beyond fatalities.\nDesign Ecological.\nPopulation Those injured during US legal police intervention as recorded in 2012 Vital Statistics mortality census, 2012 Healthcare Cost and Utilization Project nationwide inpatient and emergency department samples, and two 2015 newspaper censuses of deaths.\nExposure 2012 and 2014 arrests from Federal Bureau of Investigation data adjusted for non-reporting jurisdictions; street stops and traffic stops that involved vehicle or occupant searches, without arrest, from the 2011 Police Public Contact Survey (PPCS), with the percentage breakdown by race computed from pooled 2005, 2008 and 2011 PPCS surveys due to small case counts.\nResults US police killed or injured an estimated 55 400 people in 2012 (95% CI 47 050 to 63 740 for cases coded as police involved). Blacks, Native Americans and Hispanics had higher stop/arrest rates per 10 000 population than white non-Hispanics and Asians. On average, an estimated 1 in 291 stops/arrests resulted in hospital-treated injury or death of a suspect or bystander. Ratios of admitted and fatal injury due to legal police intervention per 10 000 stops/arrests did not differ significantly between racial/ethnic groups. Ratios rose with age, and were higher for men than women.\nConclusions Healthcare administrative data sets can inform public debate about injuries resulting from legal police intervention. Excess per capita death rates among blacks and youth at police hands are reflections of excess exposure. International Classification of Diseases legal intervention coding needs revision.","DOI":"10.1136/injuryprev-2016-042023","ISSN":"1353-8047, 1475-5785","note":"PMID: 27457242","shortTitle":"Perils of police action","language":"en","author":[{"family":"Miller","given":"Ted R."},{"family":"Lawrence","given":"Bruce A."},{"family":"Carlson","given":"Nancy N."},{"family":"Hendrie","given":"Delia"},{"family":"Randall","given":"Sean"},{"family":"Rockett","given":"Ian R. H."},{"family":"Spicer","given":"Rebecca S."}],"issued":{"date-parts":[["2017",2,1]]}}}],"schema":"https://github.com/citation-style-language/schema/raw/master/csl-citation.json"} </w:instrText>
      </w:r>
      <w:r w:rsidR="00693234">
        <w:rPr>
          <w:rFonts w:ascii="Cambria" w:hAnsi="Cambria"/>
          <w:sz w:val="24"/>
          <w:szCs w:val="24"/>
        </w:rPr>
        <w:fldChar w:fldCharType="separate"/>
      </w:r>
      <w:r w:rsidR="00424ABE" w:rsidRPr="00424ABE">
        <w:rPr>
          <w:rFonts w:ascii="Cambria" w:hAnsi="Cambria" w:cs="Times New Roman"/>
          <w:sz w:val="24"/>
          <w:szCs w:val="24"/>
          <w:vertAlign w:val="superscript"/>
        </w:rPr>
        <w:t>8,15,16</w:t>
      </w:r>
      <w:r w:rsidR="00693234">
        <w:rPr>
          <w:rFonts w:ascii="Cambria" w:hAnsi="Cambria"/>
          <w:sz w:val="24"/>
          <w:szCs w:val="24"/>
        </w:rPr>
        <w:fldChar w:fldCharType="end"/>
      </w:r>
      <w:r w:rsidR="00693234">
        <w:rPr>
          <w:rFonts w:ascii="Cambria" w:hAnsi="Cambria"/>
          <w:sz w:val="24"/>
          <w:szCs w:val="24"/>
        </w:rPr>
        <w:t xml:space="preserve"> including when those killed are unarmed.</w:t>
      </w:r>
      <w:r w:rsidR="00693234">
        <w:rPr>
          <w:rFonts w:ascii="Cambria" w:hAnsi="Cambria"/>
          <w:sz w:val="24"/>
          <w:szCs w:val="24"/>
        </w:rPr>
        <w:fldChar w:fldCharType="begin"/>
      </w:r>
      <w:r w:rsidR="00424ABE">
        <w:rPr>
          <w:rFonts w:ascii="Cambria" w:hAnsi="Cambria"/>
          <w:sz w:val="24"/>
          <w:szCs w:val="24"/>
        </w:rPr>
        <w:instrText xml:space="preserve"> ADDIN ZOTERO_ITEM CSL_CITATION {"citationID":"a94pq3c2b9","properties":{"formattedCitation":"{\\rtf \\super 17\\nosupersub{}}","plainCitation":"17"},"citationItems":[{"id":4917,"uris":["http://zotero.org/groups/876118/items/EK4GNV2T"],"uri":["http://zotero.org/groups/876118/items/EK4GNV2T"],"itemData":{"id":4917,"type":"article-journal","title":"A Multi-Level Bayesian Analysis of Racial Bias in Police Shootings at the County-Level in the United States, 2011–2014","container-title":"PLOS ONE","page":"e0141854","volume":"10","issue":"11","source":"PLoS Journals","abstract":"A geographically-resolved, multi-level Bayesian model is used to analyze the data presented in the U.S. Police-Shooting Database (USPSD) in order to investigate the extent of racial bias in the shooting of American civilians by police officers in recent years. In contrast to previous work that relied on the FBI’s Supplemental Homicide Reports that were constructed from self-reported cases of police-involved homicide, this data set is less likely to be biased by police reporting practices. County-specific relative risk outcomes of being shot by police are estimated as a function of the interaction of: 1) whether suspects/civilians were armed or unarmed, and 2) the race/ethnicity of the suspects/civilians. The results provide evidence of a significant bias in the killing of unarmed black Americans relative to unarmed white Americans, in that the probability of being {black, unarmed, and shot by police} is about 3.49 times the probability of being {white, unarmed, and shot by police} on average. Furthermore, the results of multi-level modeling show that there exists significant heterogeneity across counties in the extent of racial bias in police shootings, with some counties showing relative risk ratios of 20 to 1 or more. Finally, analysis of police shooting data as a function of county-level predictors suggests that racial bias in police shootings is most likely to emerge in police departments in larger metropolitan counties with low median incomes and a sizable portion of black residents, especially when there is high financial inequality in that county. There is no relationship between county-level racial bias in police shootings and crime rates (even race-specific crime rates), meaning that the racial bias observed in police shootings in this data set is not explainable as a response to local-level crime rates.","DOI":"10.1371/journal.pone.0141854","ISSN":"1932-6203","journalAbbreviation":"PLOS ONE","author":[{"family":"Ross","given":"Cody T."}],"issued":{"date-parts":[["2015",11,5]]}}}],"schema":"https://github.com/citation-style-language/schema/raw/master/csl-citation.json"} </w:instrText>
      </w:r>
      <w:r w:rsidR="00693234">
        <w:rPr>
          <w:rFonts w:ascii="Cambria" w:hAnsi="Cambria"/>
          <w:sz w:val="24"/>
          <w:szCs w:val="24"/>
        </w:rPr>
        <w:fldChar w:fldCharType="separate"/>
      </w:r>
      <w:r w:rsidR="00424ABE" w:rsidRPr="00424ABE">
        <w:rPr>
          <w:rFonts w:ascii="Cambria" w:hAnsi="Cambria" w:cs="Times New Roman"/>
          <w:sz w:val="24"/>
          <w:szCs w:val="24"/>
          <w:vertAlign w:val="superscript"/>
        </w:rPr>
        <w:t>17</w:t>
      </w:r>
      <w:r w:rsidR="00693234">
        <w:rPr>
          <w:rFonts w:ascii="Cambria" w:hAnsi="Cambria"/>
          <w:sz w:val="24"/>
          <w:szCs w:val="24"/>
        </w:rPr>
        <w:fldChar w:fldCharType="end"/>
      </w:r>
      <w:r w:rsidR="007251CE">
        <w:rPr>
          <w:rFonts w:ascii="Cambria" w:hAnsi="Cambria"/>
          <w:sz w:val="24"/>
          <w:szCs w:val="24"/>
        </w:rPr>
        <w:t xml:space="preserve"> </w:t>
      </w:r>
      <w:r w:rsidR="00894D23">
        <w:rPr>
          <w:rFonts w:ascii="Cambria" w:hAnsi="Cambria"/>
          <w:sz w:val="24"/>
          <w:szCs w:val="24"/>
        </w:rPr>
        <w:t>Because policing and criminal justice regimes vary across places,</w:t>
      </w:r>
      <w:r w:rsidR="00894D23">
        <w:rPr>
          <w:rFonts w:ascii="Cambria" w:hAnsi="Cambria"/>
          <w:sz w:val="24"/>
          <w:szCs w:val="24"/>
        </w:rPr>
        <w:fldChar w:fldCharType="begin"/>
      </w:r>
      <w:r w:rsidR="00732AC9">
        <w:rPr>
          <w:rFonts w:ascii="Cambria" w:hAnsi="Cambria"/>
          <w:sz w:val="24"/>
          <w:szCs w:val="24"/>
        </w:rPr>
        <w:instrText xml:space="preserve"> ADDIN ZOTERO_ITEM CSL_CITATION {"citationID":"hpR0gJNI","properties":{"formattedCitation":"{\\rtf \\super 11,12,18\\nosupersub{}}","plainCitation":"11,12,18"},"citationItems":[{"id":4942,"uris":["http://zotero.org/users/90577/items/3KKCT2GI"],"uri":["http://zotero.org/users/90577/items/3KKCT2GI"],"itemData":{"id":4942,"type":"article-journal","title":"Policing, race, and place","container-title":"Harvard Civil Rights-Civil Liberties Law Review","page":"43 - 78","volume":"44","source":"Google Scholar","note":"bibtex: capers_policing_2009","author":[{"family":"Capers","given":"I. Bennett"}],"issued":{"date-parts":[["2009"]]}}},{"id":5073,"uris":["http://zotero.org/users/90577/items/EJM4KVZV"],"uri":["http://zotero.org/users/90577/items/EJM4KVZV"],"itemData":{"id":5073,"type":"article-journal","title":"Race, Drugs, and Policing: Understanding Disparities in Drug Delivery Arrests","container-title":"Criminology","page":"105-137","volume":"44","issue":"1","source":"Wiley Online Library","abstract":"This article draws on several unique data sources to assess and explain racial disparity in Seattle's drug delivery arrests. Evidence regarding the racial and ethnic composition of those who deliver any of five serious drugs in that city is compared with the racial and ethnic composition of those arrested for this offense. Our findings indicate that blacks are significantly overrepresented among Seattle's drug delivery arrestees. Several organizational practices explain racial disparity in these arrests: law enforcement's focus on crack offenders, the priority placed on outdoor drug venues, and the geographic concentration of police resources in racially heterogeneous areas. The available evidence further indicates that these practices are not determined by race-neutral factors such as crime rates or community complaints. Our findings thus indicate that race shapes perceptions of who and what constitutes Seattle's drug problem, as well as the organizational response to that problem.","DOI":"10.1111/j.1745-9125.2006.00044.x","ISSN":"1745-9125","shortTitle":"Race, Drugs, and Policing","language":"en","author":[{"family":"Beckett","given":"Katherine"},{"family":"Nyrop","given":"Kris"},{"family":"Pfingst","given":"Lori"}],"issued":{"date-parts":[["2006",2,1]]}}},{"id":3154,"uris":["http://zotero.org/users/90577/items/M9T5M7P3"],"uri":["http://zotero.org/users/90577/items/M9T5M7P3"],"itemData":{"id":3154,"type":"book","title":"The Politics of Imprisonment: How the Democratic Process Shapes the Way America Punishes Offenders","publisher":"Oxford University Press","publisher-place":"New York, NY","number-of-pages":"264","source":"Amazon.com","event-place":"New York, NY","shortTitle":"The Politics of Imprisonment","author":[{"family":"Barker","given":"Vanessa"}],"issued":{"date-parts":[["2009",8,26]]}}}],"schema":"https://github.com/citation-style-language/schema/raw/master/csl-citation.json"} </w:instrText>
      </w:r>
      <w:r w:rsidR="00894D23">
        <w:rPr>
          <w:rFonts w:ascii="Cambria" w:hAnsi="Cambria"/>
          <w:sz w:val="24"/>
          <w:szCs w:val="24"/>
        </w:rPr>
        <w:fldChar w:fldCharType="separate"/>
      </w:r>
      <w:r w:rsidR="00732AC9" w:rsidRPr="00732AC9">
        <w:rPr>
          <w:rFonts w:ascii="Cambria" w:hAnsi="Cambria" w:cs="Times New Roman"/>
          <w:sz w:val="24"/>
          <w:szCs w:val="24"/>
          <w:vertAlign w:val="superscript"/>
        </w:rPr>
        <w:t>11,12,18</w:t>
      </w:r>
      <w:r w:rsidR="00894D23">
        <w:rPr>
          <w:rFonts w:ascii="Cambria" w:hAnsi="Cambria"/>
          <w:sz w:val="24"/>
          <w:szCs w:val="24"/>
        </w:rPr>
        <w:fldChar w:fldCharType="end"/>
      </w:r>
      <w:r w:rsidR="00894D23">
        <w:rPr>
          <w:rFonts w:ascii="Cambria" w:hAnsi="Cambria"/>
          <w:sz w:val="24"/>
          <w:szCs w:val="24"/>
        </w:rPr>
        <w:t xml:space="preserve"> it is likely that the risk of mortality from interactions with law enforcement are, in part, a function of geography. </w:t>
      </w:r>
    </w:p>
    <w:p w:rsidR="0045644D" w:rsidRDefault="004D41EB" w:rsidP="00D505C9">
      <w:pPr>
        <w:spacing w:line="360" w:lineRule="auto"/>
        <w:rPr>
          <w:rFonts w:ascii="Cambria" w:hAnsi="Cambria"/>
          <w:sz w:val="24"/>
          <w:szCs w:val="24"/>
        </w:rPr>
      </w:pPr>
      <w:r>
        <w:rPr>
          <w:rFonts w:ascii="Cambria" w:hAnsi="Cambria"/>
          <w:sz w:val="24"/>
          <w:szCs w:val="24"/>
        </w:rPr>
        <w:t>Past</w:t>
      </w:r>
      <w:r w:rsidR="007C6704">
        <w:rPr>
          <w:rFonts w:ascii="Cambria" w:hAnsi="Cambria"/>
          <w:sz w:val="24"/>
          <w:szCs w:val="24"/>
        </w:rPr>
        <w:t xml:space="preserve"> work has been limited by the absence of systematic </w:t>
      </w:r>
      <w:r w:rsidR="00B87DB8">
        <w:rPr>
          <w:rFonts w:ascii="Cambria" w:hAnsi="Cambria"/>
          <w:sz w:val="24"/>
          <w:szCs w:val="24"/>
        </w:rPr>
        <w:t>national</w:t>
      </w:r>
      <w:r w:rsidR="00743508">
        <w:rPr>
          <w:rFonts w:ascii="Cambria" w:hAnsi="Cambria"/>
          <w:sz w:val="24"/>
          <w:szCs w:val="24"/>
        </w:rPr>
        <w:t xml:space="preserve"> data on deaths </w:t>
      </w:r>
      <w:r w:rsidR="007C6704">
        <w:rPr>
          <w:rFonts w:ascii="Cambria" w:hAnsi="Cambria"/>
          <w:sz w:val="24"/>
          <w:szCs w:val="24"/>
        </w:rPr>
        <w:t>involving law enforcement.</w:t>
      </w:r>
      <w:r w:rsidR="00BC7275">
        <w:rPr>
          <w:rFonts w:ascii="Cambria" w:hAnsi="Cambria"/>
          <w:sz w:val="24"/>
          <w:szCs w:val="24"/>
        </w:rPr>
        <w:fldChar w:fldCharType="begin"/>
      </w:r>
      <w:r w:rsidR="00BC7275">
        <w:rPr>
          <w:rFonts w:ascii="Cambria" w:hAnsi="Cambria"/>
          <w:sz w:val="24"/>
          <w:szCs w:val="24"/>
        </w:rPr>
        <w:instrText xml:space="preserve"> ADDIN ZOTERO_ITEM CSL_CITATION {"citationID":"a1i3jrmri5l","properties":{"formattedCitation":"{\\rtf \\super 3\\nosupersub{}}","plainCitation":"3"},"citationItems":[{"id":5166,"uris":["http://zotero.org/groups/876118/items/9N2GVFKD"],"uri":["http://zotero.org/groups/876118/items/9N2GVFKD"],"itemData":{"id":5166,"type":"article-journal","title":"Police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instrText>
      </w:r>
      <w:r w:rsidR="00BC7275">
        <w:rPr>
          <w:rFonts w:ascii="Cambria" w:hAnsi="Cambria"/>
          <w:sz w:val="24"/>
          <w:szCs w:val="24"/>
        </w:rPr>
        <w:fldChar w:fldCharType="separate"/>
      </w:r>
      <w:r w:rsidR="00BC7275" w:rsidRPr="00BC7275">
        <w:rPr>
          <w:rFonts w:ascii="Cambria" w:hAnsi="Cambria" w:cs="Times New Roman"/>
          <w:sz w:val="24"/>
          <w:szCs w:val="24"/>
          <w:vertAlign w:val="superscript"/>
        </w:rPr>
        <w:t>3</w:t>
      </w:r>
      <w:r w:rsidR="00BC7275">
        <w:rPr>
          <w:rFonts w:ascii="Cambria" w:hAnsi="Cambria"/>
          <w:sz w:val="24"/>
          <w:szCs w:val="24"/>
        </w:rPr>
        <w:fldChar w:fldCharType="end"/>
      </w:r>
      <w:r w:rsidR="00D155C1">
        <w:rPr>
          <w:rFonts w:ascii="Cambria" w:hAnsi="Cambria"/>
          <w:sz w:val="24"/>
          <w:szCs w:val="24"/>
        </w:rPr>
        <w:t xml:space="preserve"> Law enforcement data on police-involved deaths, primarily collected through the Bureau of Justice Statistics’ Arrest Related Deaths program or the Federal Bureau of Investigation’s Uniform Crime Report’s Supplementary Homicide Report are widely acknowledged to undercount the true number of deaths involving police</w:t>
      </w:r>
      <w:r w:rsidR="00193F54">
        <w:rPr>
          <w:rFonts w:ascii="Cambria" w:hAnsi="Cambria"/>
          <w:sz w:val="24"/>
          <w:szCs w:val="24"/>
        </w:rPr>
        <w:t>.</w:t>
      </w:r>
      <w:r w:rsidR="00193F54">
        <w:rPr>
          <w:rFonts w:ascii="Cambria" w:hAnsi="Cambria"/>
          <w:sz w:val="24"/>
          <w:szCs w:val="24"/>
        </w:rPr>
        <w:fldChar w:fldCharType="begin"/>
      </w:r>
      <w:r w:rsidR="00732AC9">
        <w:rPr>
          <w:rFonts w:ascii="Cambria" w:hAnsi="Cambria"/>
          <w:sz w:val="24"/>
          <w:szCs w:val="24"/>
        </w:rPr>
        <w:instrText xml:space="preserve"> ADDIN ZOTERO_ITEM CSL_CITATION {"citationID":"a1jgj4q436d","properties":{"formattedCitation":"{\\rtf \\super 3,19,20\\nosupersub{}}","plainCitation":"3,19,20"},"citationItems":[{"id":5209,"uris":["http://zotero.org/groups/876118/items/P4WQWGW6"],"uri":["http://zotero.org/groups/876118/items/P4WQWGW6"],"itemData":{"id":5209,"type":"report","title":"Arrest-related deaths program: data quality profile","publisher":"U.S. Department of Justice, Office of Justice Programs, Bureau of Justice Statistics","publisher-place":"Washington, DC","source":"Google Scholar","event-place":"Washington, DC","URL":"https://www.publicsafety.gc.ca/lbrr/archives/cnmcs-plcng/cn33640-eng.pdf","shortTitle":"Arrest-related deaths program","author":[{"family":"Planty","given":"Michael"},{"family":"Burch","given":"Andrea M."},{"family":"Banks","given":"Duren"},{"family":"Couzens","given":"Lance"},{"family":"Blanton","given":"Caroline"},{"family":"Cribb","given":"Devon"}],"issued":{"date-parts":[["2015"]]}}},{"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V."},{"family":"Feldman","given":"Justin"}],"issued":{"date-parts":[["2015",12,8]]}}},{"id":4914,"uris":["http://zotero.org/groups/876118/items/7VWQSD29"],"uri":["http://zotero.org/groups/876118/items/7VWQSD29"],"itemData":{"id":4914,"type":"article-journal","title":"Race, Crime, and the Micro-Ecology of Deadly Force","container-title":"Criminology &amp; Public Policy","page":"193-222","volume":"15","issue":"1","source":"Wiley Online Library","abstract":"Research Summary\n\nLimitations in data and research on the use of firearms by police officers in the United States preclude sound understanding of the determinants of deadly force in police work. The current study addresses these limitations with detailed case attributes and a microspatial analysis of police shootings in St. Louis, MO, between 2003 and 2012. The results indicate that neither the racial composition of neighborhoods nor their level of economic disadvantage directly increase the frequency of police shootings, whereas levels of violent crime do—but only to a point. Police shootings are less frequent in areas with the highest levels of criminal violence than in those with midlevels of violence. We offer a provisional interpretation of these results and call for replications in other settings.\n\nPolicy Implications\n\nNationwide replications of the current research will require the establishment of a national database of police shootings. Informative assessments of a single agency's policies and practices require comparative information from other agencies. We recommend specific data elements to be included in such an information system that would shed further empirical light on the interconnections among race, crime, and police use of deadly force. The database also would contribute to the development of evidence-based policies and procedures on deadly force—an urgent public priority in light of recent controversial police shootings across the United States.","DOI":"10.1111/1745-9133.12174","ISSN":"1745-9133","journalAbbreviation":"Criminology &amp; Public Policy","language":"en","author":[{"family":"Klinger","given":"David"},{"family":"Rosenfeld","given":"Richard"},{"family":"Isom","given":"Daniel"},{"family":"Deckard","given":"Michael"}],"issued":{"date-parts":[["2016",2,1]]}}}],"schema":"https://github.com/citation-style-language/schema/raw/master/csl-citation.json"} </w:instrText>
      </w:r>
      <w:r w:rsidR="00193F54">
        <w:rPr>
          <w:rFonts w:ascii="Cambria" w:hAnsi="Cambria"/>
          <w:sz w:val="24"/>
          <w:szCs w:val="24"/>
        </w:rPr>
        <w:fldChar w:fldCharType="separate"/>
      </w:r>
      <w:r w:rsidR="00732AC9" w:rsidRPr="00732AC9">
        <w:rPr>
          <w:rFonts w:ascii="Cambria" w:hAnsi="Cambria" w:cs="Times New Roman"/>
          <w:sz w:val="24"/>
          <w:szCs w:val="24"/>
          <w:vertAlign w:val="superscript"/>
        </w:rPr>
        <w:t>3,19,20</w:t>
      </w:r>
      <w:r w:rsidR="00193F54">
        <w:rPr>
          <w:rFonts w:ascii="Cambria" w:hAnsi="Cambria"/>
          <w:sz w:val="24"/>
          <w:szCs w:val="24"/>
        </w:rPr>
        <w:fldChar w:fldCharType="end"/>
      </w:r>
      <w:r w:rsidR="00193F54">
        <w:rPr>
          <w:rFonts w:ascii="Cambria" w:hAnsi="Cambria"/>
          <w:sz w:val="24"/>
          <w:szCs w:val="24"/>
        </w:rPr>
        <w:t xml:space="preserve"> </w:t>
      </w:r>
      <w:r w:rsidR="00E1029E">
        <w:rPr>
          <w:rFonts w:ascii="Cambria" w:hAnsi="Cambria"/>
          <w:sz w:val="24"/>
          <w:szCs w:val="24"/>
        </w:rPr>
        <w:t xml:space="preserve">Public health scholars have exploited data from </w:t>
      </w:r>
      <w:r w:rsidR="00307621">
        <w:rPr>
          <w:rFonts w:ascii="Cambria" w:hAnsi="Cambria"/>
          <w:sz w:val="24"/>
          <w:szCs w:val="24"/>
        </w:rPr>
        <w:t xml:space="preserve">National Center for Health Statistics </w:t>
      </w:r>
      <w:r w:rsidR="00E1029E">
        <w:rPr>
          <w:rFonts w:ascii="Cambria" w:hAnsi="Cambria"/>
          <w:sz w:val="24"/>
          <w:szCs w:val="24"/>
        </w:rPr>
        <w:t>mortality files, the National Viol</w:t>
      </w:r>
      <w:r w:rsidR="00307621">
        <w:rPr>
          <w:rFonts w:ascii="Cambria" w:hAnsi="Cambria"/>
          <w:sz w:val="24"/>
          <w:szCs w:val="24"/>
        </w:rPr>
        <w:t xml:space="preserve">ent Death Reporting System, US Centers for Disease Control and Prevention’s mortality </w:t>
      </w:r>
      <w:r w:rsidR="0036701D">
        <w:rPr>
          <w:rFonts w:ascii="Cambria" w:hAnsi="Cambria"/>
          <w:sz w:val="24"/>
          <w:szCs w:val="24"/>
        </w:rPr>
        <w:t>f</w:t>
      </w:r>
      <w:r w:rsidR="00307621">
        <w:rPr>
          <w:rFonts w:ascii="Cambria" w:hAnsi="Cambria"/>
          <w:sz w:val="24"/>
          <w:szCs w:val="24"/>
        </w:rPr>
        <w:t>iles</w:t>
      </w:r>
      <w:r w:rsidR="0036701D">
        <w:rPr>
          <w:rFonts w:ascii="Cambria" w:hAnsi="Cambria"/>
          <w:sz w:val="24"/>
          <w:szCs w:val="24"/>
        </w:rPr>
        <w:t xml:space="preserve"> and various emergency department surveys.</w:t>
      </w:r>
      <w:r w:rsidR="00FD01BE">
        <w:rPr>
          <w:rFonts w:ascii="Cambria" w:hAnsi="Cambria"/>
          <w:sz w:val="24"/>
          <w:szCs w:val="24"/>
        </w:rPr>
        <w:fldChar w:fldCharType="begin"/>
      </w:r>
      <w:r w:rsidR="00732AC9">
        <w:rPr>
          <w:rFonts w:ascii="Cambria" w:hAnsi="Cambria"/>
          <w:sz w:val="24"/>
          <w:szCs w:val="24"/>
        </w:rPr>
        <w:instrText xml:space="preserve"> ADDIN ZOTERO_ITEM CSL_CITATION {"citationID":"aohbh3cvml","properties":{"formattedCitation":"{\\rtf \\super 3,21\\uc0\\u8211{}23\\nosupersub{}}","plainCitation":"3,21–23"},"citationItems":[{"id":5210,"uris":["http://zotero.org/groups/876118/items/UDRAR4A5"],"uri":["http://zotero.org/groups/876118/items/UDRAR4A5"],"itemData":{"id":5210,"type":"article-journal","title":"Temporal Trends and Racial/Ethnic Inequalities for Legal Intervention Injuries Treated in Emergency Departments: US Men and Women Age 15–34, 2001–2014","container-title":"Journal of Urban Health","page":"797-807","volume":"93","issue":"5","source":"link-springer-com.offcampus.lib.washington.edu","DOI":"10.1007/s11524-016-0076-3","ISSN":"1099-3460, 1468-2869","shortTitle":"Temporal Trends and Racial/Ethnic Inequalities for Legal Intervention Injuries Treated in Emergency Departments","journalAbbreviation":"J Urban Health","language":"en","author":[{"family":"Feldman","given":"Justin M."},{"family":"Chen","given":"Jarvis T."},{"family":"Waterman","given":"Pamela D."},{"family":"Krieger","given":"Nancy"}],"issued":{"date-parts":[["2016",10,1]]}}},{"id":5166,"uris":["http://zotero.org/groups/876118/items/9N2GVFKD"],"uri":["http://zotero.org/groups/876118/items/9N2GVFKD"],"itemData":{"id":5166,"type":"article-journal","title":"Police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V."},{"family":"Feldman","given":"Justin"}],"issued":{"date-parts":[["2015",12,8]]}}},{"id":5162,"uris":["http://zotero.org/groups/876118/items/28Z2Q4VI"],"uri":["http://zotero.org/groups/876118/items/28Z2Q4VI"],"itemData":{"id":5162,"type":"article-journal","title":"US Emergency Department Encounters for Law Enforcement–Associated Injury, 2006-2012","container-title":"JAMA Surgery","source":"jamanetwork.com","abstract":"This study uses a nationally representative database to determine whether the incidence of emergency department visits for law enforcement increased relative to total emergency department visits from 2006 to 2012.","URL":"http://jamanetwork.com/journals/jamasurgery/fullarticle/2619243","DOI":"10.1001/jamasurg.2017.0574","journalAbbreviation":"JAMA Surg","author":[{"family":"Kaufman","given":"Elinore J."},{"family":"Karp","given":"David N."},{"family":"Delgado","given":"M. Kit"}],"issued":{"date-parts":[["2017",4,19]]},"accessed":{"date-parts":[["2017",5,2]]}}},{"id":4920,"uris":["http://zotero.org/groups/876118/items/RV5EDNJK"],"uri":["http://zotero.org/groups/876118/items/RV5EDNJK"],"itemData":{"id":4920,"type":"article-journal","title":"Homicides by Police: Comparing Counts From the National Violent Death Reporting System, Vital Statistics, and Supplementary Homicide Reports","container-title":"American Journal of Public Health","page":"922-927","volume":"106","issue":"5","source":"ajph.aphapublications.org (Atypon)","abstract":"Objective. To evaluate the National Violent Death Reporting System (NVDRS) as a surveillance system for homicides by law enforcement officers.Methods. We assessed sensitivity and positive predictive value of the NVDRS “type of death” variable against our study count of homicides by police, which we derived from NVDRS coded and narrative data for states participating in NVDRS 2005 to 2012. We compared state counts of police homicides from NVDRS, Vital Statistics, and Federal Bureau of Investigation Supplementary Homicide Reports.Results. We identified 1552 police homicides in the 16 states. Positive predictive value and sensitivity of the NVDRS “type of death” variable for police homicides were high (98% and 90%, respectively). Counts from Vital Statistics and Supplementary Homicide Reports were 58% and 48%, respectively, of our study total; gaps varied widely by state. The annual rate of police homicide (0.24/100 000) varied 5-fold by state and 8-fold by race/ethnicity.Conclusions. NVDRS provides more complete data on police homicides than do existing systems.Policy Implications. Expanding NVDRS to all 50 states and making 2 improvements we identify will be an efficient way to provide the nation with more accurate, detailed data on homicides by law enforcement.","DOI":"10.2105/AJPH.2016.303074","ISSN":"0090-0036","shortTitle":"Homicides by Police","journalAbbreviation":"Am J Public Health","author":[{"family":"Barber","given":"Catherine"},{"family":"Azrael","given":"Deborah"},{"family":"Cohen","given":"Amy"},{"family":"Miller","given":"Matthew"},{"family":"Thymes","given":"Deonza"},{"family":"Wang","given":"David Enze"},{"family":"Hemenway","given":"David"}],"issued":{"date-parts":[["2016",3,17]]}}}],"schema":"https://github.com/citation-style-language/schema/raw/master/csl-citation.json"} </w:instrText>
      </w:r>
      <w:r w:rsidR="00FD01BE">
        <w:rPr>
          <w:rFonts w:ascii="Cambria" w:hAnsi="Cambria"/>
          <w:sz w:val="24"/>
          <w:szCs w:val="24"/>
        </w:rPr>
        <w:fldChar w:fldCharType="separate"/>
      </w:r>
      <w:r w:rsidR="00732AC9" w:rsidRPr="00732AC9">
        <w:rPr>
          <w:rFonts w:ascii="Cambria" w:hAnsi="Cambria" w:cs="Times New Roman"/>
          <w:sz w:val="24"/>
          <w:szCs w:val="24"/>
          <w:vertAlign w:val="superscript"/>
        </w:rPr>
        <w:t>3,21–23</w:t>
      </w:r>
      <w:r w:rsidR="00FD01BE">
        <w:rPr>
          <w:rFonts w:ascii="Cambria" w:hAnsi="Cambria"/>
          <w:sz w:val="24"/>
          <w:szCs w:val="24"/>
        </w:rPr>
        <w:fldChar w:fldCharType="end"/>
      </w:r>
      <w:r w:rsidR="00FD01BE">
        <w:rPr>
          <w:rFonts w:ascii="Cambria" w:hAnsi="Cambria"/>
          <w:sz w:val="24"/>
          <w:szCs w:val="24"/>
        </w:rPr>
        <w:t xml:space="preserve"> Researchers have found that these methods yield substantially higher counts than those reported by law enforcement agencies, but</w:t>
      </w:r>
      <w:r w:rsidR="00D03D0E">
        <w:rPr>
          <w:rFonts w:ascii="Cambria" w:hAnsi="Cambria"/>
          <w:sz w:val="24"/>
          <w:szCs w:val="24"/>
        </w:rPr>
        <w:t xml:space="preserve"> still suffer from under-reporting or limited geographic coverage.</w:t>
      </w:r>
      <w:r w:rsidR="00D03D0E">
        <w:rPr>
          <w:rFonts w:ascii="Cambria" w:hAnsi="Cambria"/>
          <w:sz w:val="24"/>
          <w:szCs w:val="24"/>
        </w:rPr>
        <w:fldChar w:fldCharType="begin"/>
      </w:r>
      <w:r w:rsidR="00D03D0E">
        <w:rPr>
          <w:rFonts w:ascii="Cambria" w:hAnsi="Cambria"/>
          <w:sz w:val="24"/>
          <w:szCs w:val="24"/>
        </w:rPr>
        <w:instrText xml:space="preserve"> ADDIN ZOTERO_ITEM CSL_CITATION {"citationID":"agbues5682","properties":{"formattedCitation":"{\\rtf \\super 3\\nosupersub{}}","plainCitation":"3"},"citationItems":[{"id":5166,"uris":["http://zotero.org/groups/876118/items/9N2GVFKD"],"uri":["http://zotero.org/groups/876118/items/9N2GVFKD"],"itemData":{"id":5166,"type":"article-journal","title":"Police Killings and Police Deaths Are Public Health Data and Can Be Counted","container-title":"PLOS Medicine","page":"e1001915","volume":"12","issue":"12","source":"PLoS Journals","abstract":"Nancy Krieger and colleagues argue that law-enforcement–related deaths in the United States should be treated as notifiable conditions, which would allow public health departments to report these data in real-time.","DOI":"10.1371/journal.pmed.1001915","ISSN":"1549-1676","journalAbbreviation":"PLOS Medicine","author":[{"family":"Krieger","given":"Nancy"},{"family":"Chen","given":"Jarvis T."},{"family":"Waterman","given":"Pamela D."},{"family":"Kiang","given":"Mathew V."},{"family":"Feldman","given":"Justin"}],"issued":{"date-parts":[["2015",12,8]]}}}],"schema":"https://github.com/citation-style-language/schema/raw/master/csl-citation.json"} </w:instrText>
      </w:r>
      <w:r w:rsidR="00D03D0E">
        <w:rPr>
          <w:rFonts w:ascii="Cambria" w:hAnsi="Cambria"/>
          <w:sz w:val="24"/>
          <w:szCs w:val="24"/>
        </w:rPr>
        <w:fldChar w:fldCharType="separate"/>
      </w:r>
      <w:r w:rsidR="00D03D0E" w:rsidRPr="00D03D0E">
        <w:rPr>
          <w:rFonts w:ascii="Cambria" w:hAnsi="Cambria" w:cs="Times New Roman"/>
          <w:sz w:val="24"/>
          <w:szCs w:val="24"/>
          <w:vertAlign w:val="superscript"/>
        </w:rPr>
        <w:t>3</w:t>
      </w:r>
      <w:r w:rsidR="00D03D0E">
        <w:rPr>
          <w:rFonts w:ascii="Cambria" w:hAnsi="Cambria"/>
          <w:sz w:val="24"/>
          <w:szCs w:val="24"/>
        </w:rPr>
        <w:fldChar w:fldCharType="end"/>
      </w:r>
      <w:r w:rsidR="00D505C9">
        <w:rPr>
          <w:rFonts w:ascii="Cambria" w:hAnsi="Cambria"/>
          <w:sz w:val="24"/>
          <w:szCs w:val="24"/>
        </w:rPr>
        <w:t xml:space="preserve"> </w:t>
      </w:r>
    </w:p>
    <w:p w:rsidR="00D505C9" w:rsidRPr="009D2D08" w:rsidRDefault="00D505C9" w:rsidP="00D505C9">
      <w:pPr>
        <w:spacing w:line="360" w:lineRule="auto"/>
        <w:rPr>
          <w:rFonts w:ascii="Cambria" w:hAnsi="Cambria"/>
          <w:sz w:val="24"/>
          <w:szCs w:val="24"/>
        </w:rPr>
      </w:pPr>
      <w:r w:rsidRPr="009D2D08">
        <w:rPr>
          <w:rFonts w:ascii="Cambria" w:hAnsi="Cambria"/>
          <w:sz w:val="24"/>
          <w:szCs w:val="24"/>
        </w:rPr>
        <w:t>Journalists, activists and researchers have stepped in to fill this information gap by constructing a series of public datasets that count police-involved deaths using a combination of public records and media accounts. In response to the limits of official data, BJS has undertaken a redesign of the Arrest-Related Deaths Program that more closely matches the methodology of public data collection projects</w:t>
      </w:r>
      <w:r w:rsidR="00B83579">
        <w:rPr>
          <w:rFonts w:ascii="Cambria" w:hAnsi="Cambria"/>
          <w:sz w:val="24"/>
          <w:szCs w:val="24"/>
        </w:rPr>
        <w:t>. BJS analysts</w:t>
      </w:r>
      <w:r>
        <w:rPr>
          <w:rFonts w:ascii="Cambria" w:hAnsi="Cambria"/>
          <w:sz w:val="24"/>
          <w:szCs w:val="24"/>
        </w:rPr>
        <w:t xml:space="preserve"> not</w:t>
      </w:r>
      <w:r w:rsidR="00B83579">
        <w:rPr>
          <w:rFonts w:ascii="Cambria" w:hAnsi="Cambria"/>
          <w:sz w:val="24"/>
          <w:szCs w:val="24"/>
        </w:rPr>
        <w:t>ed</w:t>
      </w:r>
      <w:r>
        <w:rPr>
          <w:rFonts w:ascii="Cambria" w:hAnsi="Cambria"/>
          <w:sz w:val="24"/>
          <w:szCs w:val="24"/>
        </w:rPr>
        <w:t xml:space="preserve"> that </w:t>
      </w:r>
      <w:r w:rsidRPr="008D57A8">
        <w:rPr>
          <w:rFonts w:ascii="Cambria" w:hAnsi="Cambria"/>
          <w:i/>
          <w:sz w:val="24"/>
          <w:szCs w:val="24"/>
        </w:rPr>
        <w:t>Fatal Encounters</w:t>
      </w:r>
      <w:r w:rsidR="004765B3">
        <w:rPr>
          <w:rFonts w:ascii="Cambria" w:hAnsi="Cambria"/>
          <w:sz w:val="24"/>
          <w:szCs w:val="24"/>
        </w:rPr>
        <w:t>,</w:t>
      </w:r>
      <w:r w:rsidR="00F21D9A">
        <w:rPr>
          <w:rFonts w:ascii="Cambria" w:hAnsi="Cambria"/>
          <w:sz w:val="24"/>
          <w:szCs w:val="24"/>
        </w:rPr>
        <w:fldChar w:fldCharType="begin"/>
      </w:r>
      <w:r w:rsidR="00F21D9A">
        <w:rPr>
          <w:rFonts w:ascii="Cambria" w:hAnsi="Cambria"/>
          <w:sz w:val="24"/>
          <w:szCs w:val="24"/>
        </w:rPr>
        <w:instrText xml:space="preserve"> ADDIN ZOTERO_ITEM CSL_CITATION {"citationID":"a19vpu9537s","properties":{"formattedCitation":"{\\rtf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F21D9A">
        <w:rPr>
          <w:rFonts w:ascii="Cambria" w:hAnsi="Cambria"/>
          <w:sz w:val="24"/>
          <w:szCs w:val="24"/>
        </w:rPr>
        <w:fldChar w:fldCharType="separate"/>
      </w:r>
      <w:r w:rsidR="00F21D9A" w:rsidRPr="00F21D9A">
        <w:rPr>
          <w:rFonts w:ascii="Cambria" w:hAnsi="Cambria" w:cs="Times New Roman"/>
          <w:sz w:val="24"/>
          <w:szCs w:val="24"/>
          <w:vertAlign w:val="superscript"/>
        </w:rPr>
        <w:t>4</w:t>
      </w:r>
      <w:r w:rsidR="00F21D9A">
        <w:rPr>
          <w:rFonts w:ascii="Cambria" w:hAnsi="Cambria"/>
          <w:sz w:val="24"/>
          <w:szCs w:val="24"/>
        </w:rPr>
        <w:fldChar w:fldCharType="end"/>
      </w:r>
      <w:r w:rsidR="004765B3">
        <w:rPr>
          <w:rFonts w:ascii="Cambria" w:hAnsi="Cambria"/>
          <w:sz w:val="24"/>
          <w:szCs w:val="24"/>
        </w:rPr>
        <w:t xml:space="preserve"> </w:t>
      </w:r>
      <w:r w:rsidR="004765B3" w:rsidRPr="009D2D08">
        <w:rPr>
          <w:rFonts w:ascii="Cambria" w:hAnsi="Cambria"/>
          <w:sz w:val="24"/>
          <w:szCs w:val="24"/>
        </w:rPr>
        <w:t xml:space="preserve">a </w:t>
      </w:r>
      <w:r w:rsidR="004765B3">
        <w:rPr>
          <w:rFonts w:ascii="Cambria" w:hAnsi="Cambria"/>
          <w:sz w:val="24"/>
          <w:szCs w:val="24"/>
        </w:rPr>
        <w:t>journalist-led project that</w:t>
      </w:r>
      <w:r w:rsidR="004765B3" w:rsidRPr="009D2D08">
        <w:rPr>
          <w:rFonts w:ascii="Cambria" w:hAnsi="Cambria"/>
          <w:sz w:val="24"/>
          <w:szCs w:val="24"/>
        </w:rPr>
        <w:t xml:space="preserve"> seeks to document all episodes of fatal police-</w:t>
      </w:r>
      <w:r w:rsidR="004765B3" w:rsidRPr="009D2D08">
        <w:rPr>
          <w:rFonts w:ascii="Cambria" w:hAnsi="Cambria"/>
          <w:sz w:val="24"/>
          <w:szCs w:val="24"/>
        </w:rPr>
        <w:lastRenderedPageBreak/>
        <w:t>civilian interactions in the United States</w:t>
      </w:r>
      <w:r w:rsidR="004765B3">
        <w:rPr>
          <w:rFonts w:ascii="Cambria" w:hAnsi="Cambria"/>
          <w:sz w:val="24"/>
          <w:szCs w:val="24"/>
        </w:rPr>
        <w:t xml:space="preserve">, </w:t>
      </w:r>
      <w:r>
        <w:rPr>
          <w:rFonts w:ascii="Cambria" w:hAnsi="Cambria"/>
          <w:sz w:val="24"/>
          <w:szCs w:val="24"/>
        </w:rPr>
        <w:t>closely matched the proposed inclusion criteria for th</w:t>
      </w:r>
      <w:r w:rsidR="000F00DA">
        <w:rPr>
          <w:rFonts w:ascii="Cambria" w:hAnsi="Cambria"/>
          <w:sz w:val="24"/>
          <w:szCs w:val="24"/>
        </w:rPr>
        <w:t>is BJS</w:t>
      </w:r>
      <w:r>
        <w:rPr>
          <w:rFonts w:ascii="Cambria" w:hAnsi="Cambria"/>
          <w:sz w:val="24"/>
          <w:szCs w:val="24"/>
        </w:rPr>
        <w:t xml:space="preserve"> </w:t>
      </w:r>
      <w:r w:rsidR="00C57E43">
        <w:rPr>
          <w:rFonts w:ascii="Cambria" w:hAnsi="Cambria"/>
          <w:sz w:val="24"/>
          <w:szCs w:val="24"/>
        </w:rPr>
        <w:t>redesign of the Arrest-Related Deaths Program</w:t>
      </w:r>
      <w:r>
        <w:rPr>
          <w:rFonts w:ascii="Cambria" w:hAnsi="Cambria"/>
          <w:sz w:val="24"/>
          <w:szCs w:val="24"/>
        </w:rPr>
        <w:t>.</w:t>
      </w:r>
      <w:r>
        <w:rPr>
          <w:rFonts w:ascii="Cambria" w:hAnsi="Cambria"/>
          <w:sz w:val="24"/>
          <w:szCs w:val="24"/>
        </w:rPr>
        <w:fldChar w:fldCharType="begin"/>
      </w:r>
      <w:r w:rsidR="00732AC9">
        <w:rPr>
          <w:rFonts w:ascii="Cambria" w:hAnsi="Cambria"/>
          <w:sz w:val="24"/>
          <w:szCs w:val="24"/>
        </w:rPr>
        <w:instrText xml:space="preserve"> ADDIN ZOTERO_ITEM CSL_CITATION {"citationID":"1d0gfsj6c3","properties":{"formattedCitation":"{\\rtf \\super 24\\nosupersub{}}","plainCitation":"24"},"citationItems":[{"id":5172,"uris":["http://zotero.org/groups/876118/items/NK8BE6VG"],"uri":["http://zotero.org/groups/876118/items/NK8BE6VG"],"itemData":{"id":5172,"type":"report","title":"Arrest-Related Deaths Program Redesign Study, 2015-216: Preliminary Findings","publisher":"U.S. Department of Justice, Office of Justice Programs, Bureau of Justice Statistics","publisher-place":"Washington, DC","event-place":"Washington, DC","URL":"https://www.bjs.gov/content/pub/pdf/ardprs1516pf.pdf","author":[{"family":"Banks","given":"Duren"},{"family":"Ruddle","given":"Paul"},{"family":"Kennedy","given":"Erin"},{"family":"Planty","given":"Michael"}],"issued":{"date-parts":[["2016"]]},"accessed":{"date-parts":[["2017",5,8]]}}}],"schema":"https://github.com/citation-style-language/schema/raw/master/csl-citation.json"} </w:instrText>
      </w:r>
      <w:r>
        <w:rPr>
          <w:rFonts w:ascii="Cambria" w:hAnsi="Cambria"/>
          <w:sz w:val="24"/>
          <w:szCs w:val="24"/>
        </w:rPr>
        <w:fldChar w:fldCharType="separate"/>
      </w:r>
      <w:r w:rsidR="00732AC9" w:rsidRPr="00732AC9">
        <w:rPr>
          <w:rFonts w:ascii="Cambria" w:hAnsi="Cambria" w:cs="Times New Roman"/>
          <w:sz w:val="24"/>
          <w:szCs w:val="24"/>
          <w:vertAlign w:val="superscript"/>
        </w:rPr>
        <w:t>24</w:t>
      </w:r>
      <w:r>
        <w:rPr>
          <w:rFonts w:ascii="Cambria" w:hAnsi="Cambria"/>
          <w:sz w:val="24"/>
          <w:szCs w:val="24"/>
        </w:rPr>
        <w:fldChar w:fldCharType="end"/>
      </w:r>
      <w:r w:rsidR="00850B45">
        <w:rPr>
          <w:rFonts w:ascii="Cambria" w:hAnsi="Cambria"/>
          <w:sz w:val="24"/>
          <w:szCs w:val="24"/>
        </w:rPr>
        <w:t xml:space="preserve"> </w:t>
      </w:r>
    </w:p>
    <w:p w:rsidR="006019F7" w:rsidRDefault="00304CA3" w:rsidP="00825945">
      <w:pPr>
        <w:spacing w:line="360" w:lineRule="auto"/>
        <w:rPr>
          <w:rFonts w:ascii="Cambria" w:hAnsi="Cambria"/>
          <w:b/>
          <w:sz w:val="24"/>
          <w:szCs w:val="24"/>
        </w:rPr>
      </w:pPr>
      <w:r>
        <w:rPr>
          <w:rFonts w:ascii="Cambria" w:hAnsi="Cambria"/>
          <w:b/>
          <w:sz w:val="24"/>
          <w:szCs w:val="24"/>
        </w:rPr>
        <w:t>Data and Methods</w:t>
      </w:r>
    </w:p>
    <w:p w:rsidR="00085683" w:rsidRPr="00085683" w:rsidRDefault="00085683" w:rsidP="00825945">
      <w:pPr>
        <w:spacing w:line="360" w:lineRule="auto"/>
        <w:rPr>
          <w:rFonts w:ascii="Cambria" w:hAnsi="Cambria"/>
          <w:sz w:val="24"/>
          <w:szCs w:val="24"/>
        </w:rPr>
      </w:pPr>
      <w:r>
        <w:rPr>
          <w:rFonts w:ascii="Cambria" w:hAnsi="Cambria"/>
          <w:sz w:val="24"/>
          <w:szCs w:val="24"/>
        </w:rPr>
        <w:t xml:space="preserve">We join data on all police-involved deaths obtained from </w:t>
      </w:r>
      <w:r>
        <w:rPr>
          <w:rFonts w:ascii="Cambria" w:hAnsi="Cambria"/>
          <w:i/>
          <w:sz w:val="24"/>
          <w:szCs w:val="24"/>
        </w:rPr>
        <w:t>Fatal Encounters</w:t>
      </w:r>
      <w:r w:rsidR="00850B45">
        <w:rPr>
          <w:rFonts w:ascii="Cambria" w:hAnsi="Cambria"/>
          <w:sz w:val="24"/>
          <w:szCs w:val="24"/>
        </w:rPr>
        <w:t xml:space="preserve"> </w:t>
      </w:r>
      <w:r>
        <w:rPr>
          <w:rFonts w:ascii="Cambria" w:hAnsi="Cambria"/>
          <w:sz w:val="24"/>
          <w:szCs w:val="24"/>
        </w:rPr>
        <w:t xml:space="preserve">with population estimates from the American Community Survey to </w:t>
      </w:r>
      <w:r w:rsidR="00A52843">
        <w:rPr>
          <w:rFonts w:ascii="Cambria" w:hAnsi="Cambria"/>
          <w:sz w:val="24"/>
          <w:szCs w:val="24"/>
        </w:rPr>
        <w:t>produce</w:t>
      </w:r>
      <w:r w:rsidR="00650316">
        <w:rPr>
          <w:rFonts w:ascii="Cambria" w:hAnsi="Cambria"/>
          <w:sz w:val="24"/>
          <w:szCs w:val="24"/>
        </w:rPr>
        <w:t xml:space="preserve"> model based estimates of mortality risk by race, region, and metro type. </w:t>
      </w:r>
      <w:r w:rsidR="00B55387">
        <w:rPr>
          <w:rFonts w:ascii="Cambria" w:hAnsi="Cambria"/>
          <w:sz w:val="24"/>
          <w:szCs w:val="24"/>
        </w:rPr>
        <w:t xml:space="preserve">We pool all reported police-involved deaths between January 1, 2013 and May 8, 2017 to produce counts of police involved deaths by race / ethnicity at the county-level. </w:t>
      </w:r>
      <w:r w:rsidR="00CC25DC">
        <w:rPr>
          <w:rFonts w:ascii="Cambria" w:hAnsi="Cambria"/>
          <w:sz w:val="24"/>
          <w:szCs w:val="24"/>
        </w:rPr>
        <w:t>These criteria y</w:t>
      </w:r>
      <w:r w:rsidR="001A7656">
        <w:rPr>
          <w:rFonts w:ascii="Cambria" w:hAnsi="Cambria"/>
          <w:sz w:val="24"/>
          <w:szCs w:val="24"/>
        </w:rPr>
        <w:t xml:space="preserve">ield a total of 7,118 reported deaths involving police. </w:t>
      </w:r>
    </w:p>
    <w:p w:rsidR="00332E38" w:rsidRPr="009D2D08" w:rsidRDefault="006019F7" w:rsidP="00332E38">
      <w:pPr>
        <w:spacing w:line="360" w:lineRule="auto"/>
        <w:rPr>
          <w:rFonts w:ascii="Cambria" w:hAnsi="Cambria"/>
          <w:sz w:val="24"/>
          <w:szCs w:val="24"/>
        </w:rPr>
      </w:pPr>
      <w:r w:rsidRPr="009D2D08">
        <w:rPr>
          <w:rFonts w:ascii="Cambria" w:hAnsi="Cambria"/>
          <w:sz w:val="24"/>
          <w:szCs w:val="24"/>
        </w:rPr>
        <w:t>Data on police-involved deat</w:t>
      </w:r>
      <w:r w:rsidR="008D57A8">
        <w:rPr>
          <w:rFonts w:ascii="Cambria" w:hAnsi="Cambria"/>
          <w:sz w:val="24"/>
          <w:szCs w:val="24"/>
        </w:rPr>
        <w:t xml:space="preserve">hs come from </w:t>
      </w:r>
      <w:r w:rsidR="008D57A8" w:rsidRPr="008D57A8">
        <w:rPr>
          <w:rFonts w:ascii="Cambria" w:hAnsi="Cambria"/>
          <w:i/>
          <w:sz w:val="24"/>
          <w:szCs w:val="24"/>
        </w:rPr>
        <w:t>Fatal Encounters</w:t>
      </w:r>
      <w:r w:rsidRPr="009D2D08">
        <w:rPr>
          <w:rFonts w:ascii="Cambria" w:hAnsi="Cambria"/>
          <w:sz w:val="24"/>
          <w:szCs w:val="24"/>
        </w:rPr>
        <w:t xml:space="preserve">, a </w:t>
      </w:r>
      <w:r w:rsidR="00F738F1">
        <w:rPr>
          <w:rFonts w:ascii="Cambria" w:hAnsi="Cambria"/>
          <w:sz w:val="24"/>
          <w:szCs w:val="24"/>
        </w:rPr>
        <w:t>journalist-led project that</w:t>
      </w:r>
      <w:r w:rsidRPr="009D2D08">
        <w:rPr>
          <w:rFonts w:ascii="Cambria" w:hAnsi="Cambria"/>
          <w:sz w:val="24"/>
          <w:szCs w:val="24"/>
        </w:rPr>
        <w:t xml:space="preserve"> seeks to document all episodes of fatal police-civilian interactions in the United States</w:t>
      </w:r>
      <w:r w:rsidR="00850B45">
        <w:rPr>
          <w:rFonts w:ascii="Cambria" w:hAnsi="Cambria"/>
          <w:sz w:val="24"/>
          <w:szCs w:val="24"/>
        </w:rPr>
        <w:t xml:space="preserve"> </w:t>
      </w:r>
      <w:r w:rsidR="00850B45">
        <w:rPr>
          <w:rFonts w:ascii="Cambria" w:hAnsi="Cambria"/>
          <w:sz w:val="24"/>
          <w:szCs w:val="24"/>
        </w:rPr>
        <w:t>for those dat</w:t>
      </w:r>
      <w:r w:rsidR="00850B45">
        <w:rPr>
          <w:rFonts w:ascii="Cambria" w:hAnsi="Cambria"/>
          <w:sz w:val="24"/>
          <w:szCs w:val="24"/>
        </w:rPr>
        <w:t xml:space="preserve">es with complete national data, </w:t>
      </w:r>
      <w:r w:rsidR="00850B45">
        <w:rPr>
          <w:rFonts w:ascii="Cambria" w:hAnsi="Cambria"/>
          <w:sz w:val="24"/>
          <w:szCs w:val="24"/>
        </w:rPr>
        <w:t xml:space="preserve">January 1, 2013 through </w:t>
      </w:r>
      <w:r w:rsidR="00850B45">
        <w:rPr>
          <w:rFonts w:ascii="Cambria" w:hAnsi="Cambria"/>
          <w:sz w:val="24"/>
          <w:szCs w:val="24"/>
        </w:rPr>
        <w:t>the date of access, May 8, 2017</w:t>
      </w:r>
      <w:r w:rsidR="008D57A8">
        <w:rPr>
          <w:rFonts w:ascii="Cambria" w:hAnsi="Cambria"/>
          <w:sz w:val="24"/>
          <w:szCs w:val="24"/>
        </w:rPr>
        <w:t>.</w:t>
      </w:r>
      <w:r w:rsidR="008D57A8">
        <w:rPr>
          <w:rFonts w:ascii="Cambria" w:hAnsi="Cambria"/>
          <w:sz w:val="24"/>
          <w:szCs w:val="24"/>
        </w:rPr>
        <w:fldChar w:fldCharType="begin"/>
      </w:r>
      <w:r w:rsidR="00693234">
        <w:rPr>
          <w:rFonts w:ascii="Cambria" w:hAnsi="Cambria"/>
          <w:sz w:val="24"/>
          <w:szCs w:val="24"/>
        </w:rPr>
        <w:instrText xml:space="preserve"> ADDIN ZOTERO_ITEM CSL_CITATION {"citationID":"4bug39071","properties":{"formattedCitation":"{\\rtf \\super 4\\nosupersub{}}","plainCitation":"4"},"citationItems":[{"id":5201,"uris":["http://zotero.org/groups/876118/items/X552ITNS"],"uri":["http://zotero.org/groups/876118/items/X552ITNS"],"itemData":{"id":5201,"type":"webpage","title":"Fatal encounters","URL":"http://www.fatalencounters.org","author":[{"family":"Burghart","given":"D. Brian"}],"issued":{"date-parts":[["2015"]]},"accessed":{"date-parts":[["2017",5,9]]}}}],"schema":"https://github.com/citation-style-language/schema/raw/master/csl-citation.json"} </w:instrText>
      </w:r>
      <w:r w:rsidR="008D57A8">
        <w:rPr>
          <w:rFonts w:ascii="Cambria" w:hAnsi="Cambria"/>
          <w:sz w:val="24"/>
          <w:szCs w:val="24"/>
        </w:rPr>
        <w:fldChar w:fldCharType="separate"/>
      </w:r>
      <w:r w:rsidR="008D57A8" w:rsidRPr="008D57A8">
        <w:rPr>
          <w:rFonts w:ascii="Cambria" w:hAnsi="Cambria" w:cs="Times New Roman"/>
          <w:sz w:val="24"/>
          <w:szCs w:val="24"/>
          <w:vertAlign w:val="superscript"/>
        </w:rPr>
        <w:t>4</w:t>
      </w:r>
      <w:r w:rsidR="008D57A8">
        <w:rPr>
          <w:rFonts w:ascii="Cambria" w:hAnsi="Cambria"/>
          <w:sz w:val="24"/>
          <w:szCs w:val="24"/>
        </w:rPr>
        <w:fldChar w:fldCharType="end"/>
      </w:r>
      <w:r w:rsidRPr="009D2D08">
        <w:rPr>
          <w:rFonts w:ascii="Cambria" w:hAnsi="Cambria"/>
          <w:sz w:val="24"/>
          <w:szCs w:val="24"/>
        </w:rPr>
        <w:t xml:space="preserve"> The project relies on contributions of professional and volunteer researchers, compiled from media reports and public records. The universe of cases in </w:t>
      </w:r>
      <w:r w:rsidR="00FC4E52" w:rsidRPr="00FC4E52">
        <w:rPr>
          <w:rFonts w:ascii="Cambria" w:hAnsi="Cambria"/>
          <w:i/>
          <w:sz w:val="24"/>
          <w:szCs w:val="24"/>
        </w:rPr>
        <w:t>Fatal Encounters</w:t>
      </w:r>
      <w:r w:rsidRPr="009D2D08">
        <w:rPr>
          <w:rFonts w:ascii="Cambria" w:hAnsi="Cambria"/>
          <w:sz w:val="24"/>
          <w:szCs w:val="24"/>
        </w:rPr>
        <w:t xml:space="preserve"> is broader </w:t>
      </w:r>
      <w:r w:rsidR="00FC4E52">
        <w:rPr>
          <w:rFonts w:ascii="Cambria" w:hAnsi="Cambria"/>
          <w:sz w:val="24"/>
          <w:szCs w:val="24"/>
        </w:rPr>
        <w:t xml:space="preserve">than similar projects, such as </w:t>
      </w:r>
      <w:r w:rsidR="00FC4E52" w:rsidRPr="00FC4E52">
        <w:rPr>
          <w:rFonts w:ascii="Cambria" w:hAnsi="Cambria"/>
          <w:i/>
          <w:sz w:val="24"/>
          <w:szCs w:val="24"/>
        </w:rPr>
        <w:t>The Washington Post's</w:t>
      </w:r>
      <w:r w:rsidRPr="009D2D08">
        <w:rPr>
          <w:rFonts w:ascii="Cambria" w:hAnsi="Cambria"/>
          <w:sz w:val="24"/>
          <w:szCs w:val="24"/>
        </w:rPr>
        <w:t xml:space="preserve"> compilation of data on police shootings, </w:t>
      </w:r>
      <w:r w:rsidR="006B6BE8">
        <w:rPr>
          <w:rFonts w:ascii="Cambria" w:hAnsi="Cambria"/>
          <w:sz w:val="24"/>
          <w:szCs w:val="24"/>
        </w:rPr>
        <w:t xml:space="preserve">and </w:t>
      </w:r>
      <w:r w:rsidRPr="009D2D08">
        <w:rPr>
          <w:rFonts w:ascii="Cambria" w:hAnsi="Cambria"/>
          <w:sz w:val="24"/>
          <w:szCs w:val="24"/>
        </w:rPr>
        <w:t xml:space="preserve">has a </w:t>
      </w:r>
      <w:r w:rsidR="00FC4E52">
        <w:rPr>
          <w:rFonts w:ascii="Cambria" w:hAnsi="Cambria"/>
          <w:sz w:val="24"/>
          <w:szCs w:val="24"/>
        </w:rPr>
        <w:t xml:space="preserve">greater temporal coverage than </w:t>
      </w:r>
      <w:r w:rsidR="00FC4E52" w:rsidRPr="00FC4E52">
        <w:rPr>
          <w:rFonts w:ascii="Cambria" w:hAnsi="Cambria"/>
          <w:i/>
          <w:sz w:val="24"/>
          <w:szCs w:val="24"/>
        </w:rPr>
        <w:t>The Guardian's</w:t>
      </w:r>
      <w:r w:rsidRPr="009D2D08">
        <w:rPr>
          <w:rFonts w:ascii="Cambria" w:hAnsi="Cambria"/>
          <w:sz w:val="24"/>
          <w:szCs w:val="24"/>
        </w:rPr>
        <w:t xml:space="preserve"> dataset on police-involved deaths. </w:t>
      </w:r>
      <w:r w:rsidR="00332E38" w:rsidRPr="009D2D08">
        <w:rPr>
          <w:rFonts w:ascii="Cambria" w:hAnsi="Cambria"/>
          <w:sz w:val="24"/>
          <w:szCs w:val="24"/>
        </w:rPr>
        <w:t xml:space="preserve">Race data are not </w:t>
      </w:r>
      <w:r w:rsidR="00332E38">
        <w:rPr>
          <w:rFonts w:ascii="Cambria" w:hAnsi="Cambria"/>
          <w:sz w:val="24"/>
          <w:szCs w:val="24"/>
        </w:rPr>
        <w:t xml:space="preserve">reported for all cases </w:t>
      </w:r>
      <w:r w:rsidR="00332E38" w:rsidRPr="009D2D08">
        <w:rPr>
          <w:rFonts w:ascii="Cambria" w:hAnsi="Cambria"/>
          <w:sz w:val="24"/>
          <w:szCs w:val="24"/>
        </w:rPr>
        <w:t xml:space="preserve">in </w:t>
      </w:r>
      <w:r w:rsidR="00332E38">
        <w:rPr>
          <w:rFonts w:ascii="Cambria" w:hAnsi="Cambria"/>
          <w:i/>
          <w:sz w:val="24"/>
          <w:szCs w:val="24"/>
        </w:rPr>
        <w:t>Fatal Encounters</w:t>
      </w:r>
      <w:r w:rsidR="00332E38" w:rsidRPr="00271717">
        <w:rPr>
          <w:rFonts w:ascii="Cambria" w:hAnsi="Cambria"/>
          <w:sz w:val="24"/>
          <w:szCs w:val="24"/>
        </w:rPr>
        <w:t>,</w:t>
      </w:r>
      <w:r w:rsidR="00332E38" w:rsidRPr="009D2D08">
        <w:rPr>
          <w:rFonts w:ascii="Cambria" w:hAnsi="Cambria"/>
          <w:sz w:val="24"/>
          <w:szCs w:val="24"/>
        </w:rPr>
        <w:t xml:space="preserve"> because they are often excluded from news reports or public records. We use victim names and county of residence to predict victim race,</w:t>
      </w:r>
      <w:r w:rsidR="00332E38">
        <w:rPr>
          <w:rFonts w:ascii="Cambria" w:hAnsi="Cambria"/>
          <w:sz w:val="24"/>
          <w:szCs w:val="24"/>
        </w:rPr>
        <w:fldChar w:fldCharType="begin"/>
      </w:r>
      <w:r w:rsidR="00332E38">
        <w:rPr>
          <w:rFonts w:ascii="Cambria" w:hAnsi="Cambria"/>
          <w:sz w:val="24"/>
          <w:szCs w:val="24"/>
        </w:rPr>
        <w:instrText xml:space="preserve"> ADDIN ZOTERO_ITEM CSL_CITATION {"citationID":"a2du1ilbftk","properties":{"formattedCitation":"{\\rtf \\super 26\\nosupersub{}}","plainCitation":"26"},"citationItems":[{"id":5185,"uris":["http://zotero.org/groups/876118/items/G6BIF97A"],"uri":["http://zotero.org/groups/876118/items/G6BIF97A"],"itemData":{"id":5185,"type":"article-journal","title":"Improving ecological inference by predicting individual ethnicity from voter registration records","container-title":"Political Analysis","page":"263–272","volume":"24","issue":"2","source":"Google Scholar","author":[{"family":"Imai","given":"Kosuke"},{"family":"Khanna","given":"Kabir"}],"issued":{"date-parts":[["2016"]]}}}],"schema":"https://github.com/citation-style-language/schema/raw/master/csl-citation.json"} </w:instrText>
      </w:r>
      <w:r w:rsidR="00332E38">
        <w:rPr>
          <w:rFonts w:ascii="Cambria" w:hAnsi="Cambria"/>
          <w:sz w:val="24"/>
          <w:szCs w:val="24"/>
        </w:rPr>
        <w:fldChar w:fldCharType="separate"/>
      </w:r>
      <w:r w:rsidR="00332E38" w:rsidRPr="00732AC9">
        <w:rPr>
          <w:rFonts w:ascii="Cambria" w:hAnsi="Cambria" w:cs="Times New Roman"/>
          <w:sz w:val="24"/>
          <w:szCs w:val="24"/>
          <w:vertAlign w:val="superscript"/>
        </w:rPr>
        <w:t>26</w:t>
      </w:r>
      <w:r w:rsidR="00332E38">
        <w:rPr>
          <w:rFonts w:ascii="Cambria" w:hAnsi="Cambria"/>
          <w:sz w:val="24"/>
          <w:szCs w:val="24"/>
        </w:rPr>
        <w:fldChar w:fldCharType="end"/>
      </w:r>
      <w:r w:rsidR="00332E38" w:rsidRPr="009D2D08">
        <w:rPr>
          <w:rFonts w:ascii="Cambria" w:hAnsi="Cambria"/>
          <w:sz w:val="24"/>
          <w:szCs w:val="24"/>
        </w:rPr>
        <w:t xml:space="preserve"> only assigning race in cases with a 75 percent or higher posterior probability of membership, and leaving those cases with less than a 75 percent posterior probability of membership in any category uni</w:t>
      </w:r>
      <w:r w:rsidR="00332E38">
        <w:rPr>
          <w:rFonts w:ascii="Cambria" w:hAnsi="Cambria"/>
          <w:sz w:val="24"/>
          <w:szCs w:val="24"/>
        </w:rPr>
        <w:t>dentified.</w:t>
      </w:r>
    </w:p>
    <w:p w:rsidR="00606BB6" w:rsidRPr="009D2D08" w:rsidRDefault="006019F7" w:rsidP="00825945">
      <w:pPr>
        <w:spacing w:line="360" w:lineRule="auto"/>
        <w:rPr>
          <w:rFonts w:ascii="Cambria" w:hAnsi="Cambria"/>
          <w:sz w:val="24"/>
          <w:szCs w:val="24"/>
        </w:rPr>
      </w:pPr>
      <w:r w:rsidRPr="009D2D08">
        <w:rPr>
          <w:rFonts w:ascii="Cambria" w:hAnsi="Cambria"/>
          <w:sz w:val="24"/>
          <w:szCs w:val="24"/>
        </w:rPr>
        <w:t>We rely on data from the American Community Survey 5-year 2009 - 2014 population estimates for rate denominators of population by race, ethnicity and county.</w:t>
      </w:r>
      <w:r w:rsidR="00D004E7">
        <w:rPr>
          <w:rFonts w:ascii="Cambria" w:hAnsi="Cambria"/>
          <w:sz w:val="24"/>
          <w:szCs w:val="24"/>
        </w:rPr>
        <w:fldChar w:fldCharType="begin"/>
      </w:r>
      <w:r w:rsidR="00275EC8">
        <w:rPr>
          <w:rFonts w:ascii="Cambria" w:hAnsi="Cambria"/>
          <w:sz w:val="24"/>
          <w:szCs w:val="24"/>
        </w:rPr>
        <w:instrText xml:space="preserve"> ADDIN ZOTERO_ITEM CSL_CITATION {"citationID":"29kt7dem07","properties":{"formattedCitation":"{\\rtf \\super 25\\nosupersub{}}","plainCitation":"25"},"citationItems":[{"id":2674,"uris":["http://zotero.org/users/90577/items/GU8D72CV"],"uri":["http://zotero.org/users/90577/items/GU8D72CV"],"itemData":{"id":2674,"type":"report","title":"Integrated Public Use Microdata Series: Version 5.0 [Machine-readable database]","publisher":"University of Minnesota","publisher-place":"Minneapolis, MN","event-place":"Minneapolis, MN","author":[{"family":"Ruggles","given":"Steven J."},{"family":"Alexander","given":"J. Trent"},{"family":"Genadek","given":"Katie"},{"family":"Goeken","given":"Ronald"},{"family":"Schroeder","given":"Matthew B."},{"family":"Sobek","given":"Matthew"}],"issued":{"date-parts":[["2010"]]}}}],"schema":"https://github.com/citation-style-language/schema/raw/master/csl-citation.json"} </w:instrText>
      </w:r>
      <w:r w:rsidR="00D004E7">
        <w:rPr>
          <w:rFonts w:ascii="Cambria" w:hAnsi="Cambria"/>
          <w:sz w:val="24"/>
          <w:szCs w:val="24"/>
        </w:rPr>
        <w:fldChar w:fldCharType="separate"/>
      </w:r>
      <w:r w:rsidR="00275EC8" w:rsidRPr="00275EC8">
        <w:rPr>
          <w:rFonts w:ascii="Cambria" w:hAnsi="Cambria" w:cs="Times New Roman"/>
          <w:sz w:val="24"/>
          <w:szCs w:val="24"/>
          <w:vertAlign w:val="superscript"/>
        </w:rPr>
        <w:t>25</w:t>
      </w:r>
      <w:r w:rsidR="00D004E7">
        <w:rPr>
          <w:rFonts w:ascii="Cambria" w:hAnsi="Cambria"/>
          <w:sz w:val="24"/>
          <w:szCs w:val="24"/>
        </w:rPr>
        <w:fldChar w:fldCharType="end"/>
      </w:r>
      <w:r w:rsidRPr="009D2D08">
        <w:rPr>
          <w:rFonts w:ascii="Cambria" w:hAnsi="Cambria"/>
          <w:sz w:val="24"/>
          <w:szCs w:val="24"/>
        </w:rPr>
        <w:t xml:space="preserve"> For geographic classification, we rely on the U.S. Census Bureau's 2010 state divi</w:t>
      </w:r>
      <w:r w:rsidR="00D004E7">
        <w:rPr>
          <w:rFonts w:ascii="Cambria" w:hAnsi="Cambria"/>
          <w:sz w:val="24"/>
          <w:szCs w:val="24"/>
        </w:rPr>
        <w:t>sion classification (see Appendix Table1</w:t>
      </w:r>
      <w:r w:rsidRPr="009D2D08">
        <w:rPr>
          <w:rFonts w:ascii="Cambria" w:hAnsi="Cambria"/>
          <w:sz w:val="24"/>
          <w:szCs w:val="24"/>
        </w:rPr>
        <w:t>), and use the National Center fo</w:t>
      </w:r>
      <w:r w:rsidR="00D004E7">
        <w:rPr>
          <w:rFonts w:ascii="Cambria" w:hAnsi="Cambria"/>
          <w:sz w:val="24"/>
          <w:szCs w:val="24"/>
        </w:rPr>
        <w:t>r Health Statistics' six</w:t>
      </w:r>
      <w:r w:rsidRPr="009D2D08">
        <w:rPr>
          <w:rFonts w:ascii="Cambria" w:hAnsi="Cambria"/>
          <w:sz w:val="24"/>
          <w:szCs w:val="24"/>
        </w:rPr>
        <w:t xml:space="preserve"> category urban-rural county classification scheme for all US counties</w:t>
      </w:r>
      <w:r w:rsidR="00D004E7">
        <w:rPr>
          <w:rFonts w:ascii="Cambria" w:hAnsi="Cambria"/>
          <w:sz w:val="24"/>
          <w:szCs w:val="24"/>
        </w:rPr>
        <w:t xml:space="preserve"> (see Appendix Table 2)</w:t>
      </w:r>
      <w:r w:rsidR="0089095F">
        <w:rPr>
          <w:rFonts w:ascii="Cambria" w:hAnsi="Cambria"/>
          <w:sz w:val="24"/>
          <w:szCs w:val="24"/>
        </w:rPr>
        <w:t>.</w:t>
      </w:r>
    </w:p>
    <w:p w:rsidR="00A03543" w:rsidRDefault="006019F7" w:rsidP="00825945">
      <w:pPr>
        <w:spacing w:line="360" w:lineRule="auto"/>
        <w:rPr>
          <w:rFonts w:ascii="Cambria" w:hAnsi="Cambria"/>
          <w:sz w:val="24"/>
          <w:szCs w:val="24"/>
        </w:rPr>
      </w:pPr>
      <w:r w:rsidRPr="009D2D08">
        <w:rPr>
          <w:rFonts w:ascii="Cambria" w:hAnsi="Cambria"/>
          <w:sz w:val="24"/>
          <w:szCs w:val="24"/>
        </w:rPr>
        <w:t>Because deaths in</w:t>
      </w:r>
      <w:r w:rsidR="002A3BC3">
        <w:rPr>
          <w:rFonts w:ascii="Cambria" w:hAnsi="Cambria"/>
          <w:sz w:val="24"/>
          <w:szCs w:val="24"/>
        </w:rPr>
        <w:t>volving</w:t>
      </w:r>
      <w:r w:rsidRPr="009D2D08">
        <w:rPr>
          <w:rFonts w:ascii="Cambria" w:hAnsi="Cambria"/>
          <w:sz w:val="24"/>
          <w:szCs w:val="24"/>
        </w:rPr>
        <w:t xml:space="preserve"> police are a relatively rare event </w:t>
      </w:r>
      <w:r w:rsidR="001F51F9">
        <w:rPr>
          <w:rFonts w:ascii="Cambria" w:hAnsi="Cambria"/>
          <w:sz w:val="24"/>
          <w:szCs w:val="24"/>
        </w:rPr>
        <w:t>(nationally, we estimate 0.52 deaths per 100,000 population per year)</w:t>
      </w:r>
      <w:r w:rsidRPr="009D2D08">
        <w:rPr>
          <w:rFonts w:ascii="Cambria" w:hAnsi="Cambria"/>
          <w:sz w:val="24"/>
          <w:szCs w:val="24"/>
        </w:rPr>
        <w:t>,</w:t>
      </w:r>
      <w:r w:rsidR="00452B4C">
        <w:rPr>
          <w:rFonts w:ascii="Cambria" w:hAnsi="Cambria"/>
          <w:sz w:val="24"/>
          <w:szCs w:val="24"/>
        </w:rPr>
        <w:t xml:space="preserve"> and zero police deaths were recorded in more </w:t>
      </w:r>
      <w:r w:rsidR="00452B4C">
        <w:rPr>
          <w:rFonts w:ascii="Cambria" w:hAnsi="Cambria"/>
          <w:sz w:val="24"/>
          <w:szCs w:val="24"/>
        </w:rPr>
        <w:lastRenderedPageBreak/>
        <w:t xml:space="preserve">than half of US </w:t>
      </w:r>
      <w:r w:rsidR="00C96A2F">
        <w:rPr>
          <w:rFonts w:ascii="Cambria" w:hAnsi="Cambria"/>
          <w:sz w:val="24"/>
          <w:szCs w:val="24"/>
        </w:rPr>
        <w:t xml:space="preserve">counties, </w:t>
      </w:r>
      <w:r w:rsidR="00C96A2F" w:rsidRPr="009D2D08">
        <w:rPr>
          <w:rFonts w:ascii="Cambria" w:hAnsi="Cambria"/>
          <w:sz w:val="24"/>
          <w:szCs w:val="24"/>
        </w:rPr>
        <w:t>we</w:t>
      </w:r>
      <w:r w:rsidRPr="009D2D08">
        <w:rPr>
          <w:rFonts w:ascii="Cambria" w:hAnsi="Cambria"/>
          <w:sz w:val="24"/>
          <w:szCs w:val="24"/>
        </w:rPr>
        <w:t xml:space="preserve"> construct regression models to pool power across data to provide predictions of mortality rates by race, by metropolitan status, and by region. These figures provide more reliable estimates of police mortality </w:t>
      </w:r>
      <w:r w:rsidR="00E63740">
        <w:rPr>
          <w:rFonts w:ascii="Cambria" w:hAnsi="Cambria"/>
          <w:sz w:val="24"/>
          <w:szCs w:val="24"/>
        </w:rPr>
        <w:t>risk</w:t>
      </w:r>
      <w:r w:rsidRPr="009D2D08">
        <w:rPr>
          <w:rFonts w:ascii="Cambria" w:hAnsi="Cambria"/>
          <w:sz w:val="24"/>
          <w:szCs w:val="24"/>
        </w:rPr>
        <w:t xml:space="preserve"> by adjusting for the rarity of this event in </w:t>
      </w:r>
      <w:r w:rsidR="00A86A65">
        <w:rPr>
          <w:rFonts w:ascii="Cambria" w:hAnsi="Cambria"/>
          <w:sz w:val="24"/>
          <w:szCs w:val="24"/>
        </w:rPr>
        <w:t>places with small populations, smoothing extreme estimates from the observed data driven by outliers or no observed cases</w:t>
      </w:r>
      <w:r w:rsidRPr="009D2D08">
        <w:rPr>
          <w:rFonts w:ascii="Cambria" w:hAnsi="Cambria"/>
          <w:sz w:val="24"/>
          <w:szCs w:val="24"/>
        </w:rPr>
        <w:t xml:space="preserv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We estimate </w:t>
      </w:r>
      <w:r w:rsidR="00C96A2F">
        <w:rPr>
          <w:rFonts w:ascii="Cambria" w:hAnsi="Cambria"/>
          <w:sz w:val="24"/>
          <w:szCs w:val="24"/>
        </w:rPr>
        <w:t xml:space="preserve">Bayesian </w:t>
      </w:r>
      <w:r w:rsidRPr="009D2D08">
        <w:rPr>
          <w:rFonts w:ascii="Cambria" w:hAnsi="Cambria"/>
          <w:sz w:val="24"/>
          <w:szCs w:val="24"/>
        </w:rPr>
        <w:t>multilevel Poisson regressions of police-involved deaths as a function of the race of the victim, metropolitan status, and region. We then estimate posterior predictive mortality rates for each subset of race by metropolitan status by region. While frequentist inferences may be appropriate for counties with large populations, they greatly distort estimates from places with small populations, where any incident can dramatically effect estimates of per capita rates</w:t>
      </w:r>
      <w:r w:rsidR="007C1480">
        <w:rPr>
          <w:rFonts w:ascii="Cambria" w:hAnsi="Cambria"/>
          <w:sz w:val="24"/>
          <w:szCs w:val="24"/>
        </w:rPr>
        <w:t>, or reduce observed rates to zero, though the risk of mortality is almost certainly greater than zero</w:t>
      </w:r>
      <w:r w:rsidRPr="009D2D08">
        <w:rPr>
          <w:rFonts w:ascii="Cambria" w:hAnsi="Cambria"/>
          <w:sz w:val="24"/>
          <w:szCs w:val="24"/>
        </w:rPr>
        <w:t xml:space="preserve">. Bayesian predictive intervals provide more realistic estimates of population mortality rates, because they average over the instabilities that may occur </w:t>
      </w:r>
      <w:r w:rsidR="004A3E8C">
        <w:rPr>
          <w:rFonts w:ascii="Cambria" w:hAnsi="Cambria"/>
          <w:sz w:val="24"/>
          <w:szCs w:val="24"/>
        </w:rPr>
        <w:t>due to</w:t>
      </w:r>
      <w:r w:rsidRPr="009D2D08">
        <w:rPr>
          <w:rFonts w:ascii="Cambria" w:hAnsi="Cambria"/>
          <w:sz w:val="24"/>
          <w:szCs w:val="24"/>
        </w:rPr>
        <w:t xml:space="preserve"> idiosyncratic local or annual trends through</w:t>
      </w:r>
      <w:r w:rsidR="00646A28">
        <w:rPr>
          <w:rFonts w:ascii="Cambria" w:hAnsi="Cambria"/>
          <w:sz w:val="24"/>
          <w:szCs w:val="24"/>
        </w:rPr>
        <w:t xml:space="preserve"> </w:t>
      </w:r>
      <w:r w:rsidR="001C10A7">
        <w:rPr>
          <w:rFonts w:ascii="Cambria" w:hAnsi="Cambria"/>
          <w:sz w:val="24"/>
          <w:szCs w:val="24"/>
        </w:rPr>
        <w:t>repeated</w:t>
      </w:r>
      <w:r w:rsidR="00646A28">
        <w:rPr>
          <w:rFonts w:ascii="Cambria" w:hAnsi="Cambria"/>
          <w:sz w:val="24"/>
          <w:szCs w:val="24"/>
        </w:rPr>
        <w:t xml:space="preserve"> </w:t>
      </w:r>
      <w:r w:rsidR="001C10A7">
        <w:rPr>
          <w:rFonts w:ascii="Cambria" w:hAnsi="Cambria"/>
          <w:sz w:val="24"/>
          <w:szCs w:val="24"/>
        </w:rPr>
        <w:t>simulation</w:t>
      </w:r>
      <w:r w:rsidR="00646A28">
        <w:rPr>
          <w:rFonts w:ascii="Cambria" w:hAnsi="Cambria"/>
          <w:sz w:val="24"/>
          <w:szCs w:val="24"/>
        </w:rPr>
        <w:t xml:space="preserve">. </w:t>
      </w:r>
    </w:p>
    <w:p w:rsidR="006019F7" w:rsidRPr="00825945" w:rsidRDefault="006019F7" w:rsidP="00825945">
      <w:pPr>
        <w:spacing w:line="360" w:lineRule="auto"/>
        <w:rPr>
          <w:rFonts w:ascii="Cambria" w:hAnsi="Cambria"/>
          <w:b/>
          <w:sz w:val="24"/>
          <w:szCs w:val="24"/>
        </w:rPr>
      </w:pPr>
      <w:r w:rsidRPr="00825945">
        <w:rPr>
          <w:rFonts w:ascii="Cambria" w:hAnsi="Cambria"/>
          <w:b/>
          <w:sz w:val="24"/>
          <w:szCs w:val="24"/>
        </w:rPr>
        <w:t>Findings</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Table on cause of death by region</w:t>
      </w:r>
    </w:p>
    <w:p w:rsidR="00721B82" w:rsidRDefault="00721B82">
      <w:pPr>
        <w:rPr>
          <w:rFonts w:ascii="Cambria" w:hAnsi="Cambria"/>
          <w:sz w:val="24"/>
          <w:szCs w:val="24"/>
        </w:rPr>
      </w:pPr>
    </w:p>
    <w:p w:rsidR="00AC2177" w:rsidRDefault="00AC2177">
      <w:pPr>
        <w:rPr>
          <w:rFonts w:ascii="Cambria" w:hAnsi="Cambria"/>
          <w:sz w:val="24"/>
          <w:szCs w:val="24"/>
        </w:rPr>
      </w:pPr>
      <w:r>
        <w:rPr>
          <w:rFonts w:ascii="Cambria" w:hAnsi="Cambria"/>
          <w:sz w:val="24"/>
          <w:szCs w:val="24"/>
        </w:rPr>
        <w:br w:type="page"/>
      </w:r>
    </w:p>
    <w:p w:rsidR="00AC2177" w:rsidRDefault="00AC2177" w:rsidP="00825945">
      <w:pPr>
        <w:spacing w:line="360" w:lineRule="auto"/>
        <w:rPr>
          <w:rFonts w:ascii="Cambria" w:hAnsi="Cambria"/>
          <w:sz w:val="24"/>
          <w:szCs w:val="24"/>
        </w:rPr>
      </w:pPr>
    </w:p>
    <w:tbl>
      <w:tblPr>
        <w:tblStyle w:val="TableGridLight"/>
        <w:tblW w:w="0" w:type="auto"/>
        <w:tblLayout w:type="fixed"/>
        <w:tblLook w:val="04A0" w:firstRow="1" w:lastRow="0" w:firstColumn="1" w:lastColumn="0" w:noHBand="0" w:noVBand="1"/>
      </w:tblPr>
      <w:tblGrid>
        <w:gridCol w:w="1435"/>
        <w:gridCol w:w="1130"/>
        <w:gridCol w:w="1131"/>
        <w:gridCol w:w="1131"/>
        <w:gridCol w:w="1130"/>
        <w:gridCol w:w="1131"/>
        <w:gridCol w:w="1131"/>
        <w:gridCol w:w="1131"/>
      </w:tblGrid>
      <w:tr w:rsidR="00EF31AA" w:rsidRPr="001C00A9" w:rsidTr="00A03543">
        <w:tc>
          <w:tcPr>
            <w:tcW w:w="9350" w:type="dxa"/>
            <w:gridSpan w:val="8"/>
          </w:tcPr>
          <w:p w:rsidR="00EF31AA" w:rsidRPr="001C00A9" w:rsidRDefault="00EF31AA" w:rsidP="00EF31AA">
            <w:pPr>
              <w:jc w:val="center"/>
              <w:textAlignment w:val="baseline"/>
              <w:rPr>
                <w:rFonts w:ascii="Cambria" w:eastAsia="Times New Roman" w:hAnsi="Cambria"/>
                <w:sz w:val="24"/>
                <w:szCs w:val="24"/>
              </w:rPr>
            </w:pPr>
            <w:r w:rsidRPr="001C00A9">
              <w:rPr>
                <w:rFonts w:ascii="Cambria" w:eastAsia="Times New Roman" w:hAnsi="Cambria"/>
                <w:b/>
                <w:sz w:val="24"/>
                <w:szCs w:val="24"/>
              </w:rPr>
              <w:t>Table 1.</w:t>
            </w:r>
            <w:r w:rsidRPr="001C00A9">
              <w:rPr>
                <w:rFonts w:ascii="Cambria" w:eastAsia="Times New Roman" w:hAnsi="Cambria"/>
                <w:sz w:val="24"/>
                <w:szCs w:val="24"/>
              </w:rPr>
              <w:t xml:space="preserve"> Police related fatalities in the U.S. by metro type and Census division, </w:t>
            </w:r>
            <w:r w:rsidR="00D865E3" w:rsidRPr="001C00A9">
              <w:rPr>
                <w:rFonts w:ascii="Cambria" w:eastAsia="Times New Roman" w:hAnsi="Cambria"/>
                <w:sz w:val="24"/>
                <w:szCs w:val="24"/>
              </w:rPr>
              <w:t>January 1, 2013 through May 8, 2017</w:t>
            </w:r>
            <w:r w:rsidR="008C6E6B">
              <w:rPr>
                <w:rFonts w:ascii="Cambria" w:eastAsia="Times New Roman" w:hAnsi="Cambria"/>
                <w:sz w:val="24"/>
                <w:szCs w:val="24"/>
              </w:rPr>
              <w:t>, annual rate per 100,000 population in parenthesis</w:t>
            </w:r>
            <w:r w:rsidR="00721B82">
              <w:rPr>
                <w:rFonts w:ascii="Cambria" w:eastAsia="Times New Roman" w:hAnsi="Cambria"/>
                <w:sz w:val="24"/>
                <w:szCs w:val="24"/>
              </w:rPr>
              <w:t xml:space="preserve"> </w:t>
            </w:r>
            <w:r w:rsidRPr="001C00A9">
              <w:rPr>
                <w:rFonts w:ascii="Cambria" w:eastAsia="Times New Roman" w:hAnsi="Cambria"/>
                <w:sz w:val="24"/>
                <w:szCs w:val="24"/>
              </w:rPr>
              <w:t xml:space="preserve"> </w:t>
            </w:r>
          </w:p>
        </w:tc>
      </w:tr>
      <w:tr w:rsidR="00857FB7" w:rsidRPr="001C00A9" w:rsidTr="00A03543">
        <w:tc>
          <w:tcPr>
            <w:tcW w:w="1435" w:type="dxa"/>
            <w:hideMark/>
          </w:tcPr>
          <w:p w:rsidR="00EF31AA" w:rsidRPr="001C00A9" w:rsidRDefault="001C00A9" w:rsidP="006A26AC">
            <w:pPr>
              <w:jc w:val="center"/>
              <w:rPr>
                <w:rFonts w:ascii="Cambria" w:eastAsia="Times New Roman" w:hAnsi="Cambria"/>
                <w:bCs/>
                <w:sz w:val="24"/>
                <w:szCs w:val="24"/>
              </w:rPr>
            </w:pPr>
            <w:r>
              <w:rPr>
                <w:rFonts w:ascii="Cambria" w:eastAsia="Times New Roman" w:hAnsi="Cambria"/>
                <w:bCs/>
                <w:sz w:val="24"/>
                <w:szCs w:val="24"/>
              </w:rPr>
              <w:t xml:space="preserve">Census </w:t>
            </w:r>
            <w:r w:rsidR="00EF31AA" w:rsidRPr="001C00A9">
              <w:rPr>
                <w:rFonts w:ascii="Cambria" w:eastAsia="Times New Roman" w:hAnsi="Cambria"/>
                <w:bCs/>
                <w:sz w:val="24"/>
                <w:szCs w:val="24"/>
              </w:rPr>
              <w:t xml:space="preserve">Division </w:t>
            </w:r>
          </w:p>
        </w:tc>
        <w:tc>
          <w:tcPr>
            <w:tcW w:w="1130"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 xml:space="preserve">Large Central Metro </w:t>
            </w:r>
          </w:p>
        </w:tc>
        <w:tc>
          <w:tcPr>
            <w:tcW w:w="1131"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 xml:space="preserve">Large Fringe Metro </w:t>
            </w:r>
          </w:p>
        </w:tc>
        <w:tc>
          <w:tcPr>
            <w:tcW w:w="1131"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 xml:space="preserve">Medium Metro </w:t>
            </w:r>
          </w:p>
        </w:tc>
        <w:tc>
          <w:tcPr>
            <w:tcW w:w="1130"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 xml:space="preserve">Small Metro </w:t>
            </w:r>
          </w:p>
        </w:tc>
        <w:tc>
          <w:tcPr>
            <w:tcW w:w="1131"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Micro</w:t>
            </w:r>
            <w:r w:rsidR="00857FB7" w:rsidRPr="001C00A9">
              <w:rPr>
                <w:rFonts w:ascii="Cambria" w:eastAsia="Times New Roman" w:hAnsi="Cambria"/>
                <w:bCs/>
                <w:sz w:val="24"/>
                <w:szCs w:val="24"/>
              </w:rPr>
              <w:t>-</w:t>
            </w:r>
            <w:r w:rsidRPr="001C00A9">
              <w:rPr>
                <w:rFonts w:ascii="Cambria" w:eastAsia="Times New Roman" w:hAnsi="Cambria"/>
                <w:bCs/>
                <w:sz w:val="24"/>
                <w:szCs w:val="24"/>
              </w:rPr>
              <w:t xml:space="preserve">politan </w:t>
            </w:r>
          </w:p>
        </w:tc>
        <w:tc>
          <w:tcPr>
            <w:tcW w:w="1131" w:type="dxa"/>
            <w:hideMark/>
          </w:tcPr>
          <w:p w:rsidR="00EF31AA" w:rsidRPr="001C00A9" w:rsidRDefault="00EF31AA" w:rsidP="006A26AC">
            <w:pPr>
              <w:jc w:val="center"/>
              <w:rPr>
                <w:rFonts w:ascii="Cambria" w:eastAsia="Times New Roman" w:hAnsi="Cambria"/>
                <w:bCs/>
                <w:sz w:val="24"/>
                <w:szCs w:val="24"/>
              </w:rPr>
            </w:pPr>
            <w:r w:rsidRPr="001C00A9">
              <w:rPr>
                <w:rFonts w:ascii="Cambria" w:eastAsia="Times New Roman" w:hAnsi="Cambria"/>
                <w:bCs/>
                <w:sz w:val="24"/>
                <w:szCs w:val="24"/>
              </w:rPr>
              <w:t xml:space="preserve">Noncore </w:t>
            </w:r>
          </w:p>
        </w:tc>
        <w:tc>
          <w:tcPr>
            <w:tcW w:w="1131" w:type="dxa"/>
            <w:hideMark/>
          </w:tcPr>
          <w:p w:rsidR="00EF31AA" w:rsidRPr="00800BB5" w:rsidRDefault="00EF31AA" w:rsidP="006A26AC">
            <w:pPr>
              <w:jc w:val="center"/>
              <w:rPr>
                <w:rFonts w:ascii="Cambria" w:eastAsia="Times New Roman" w:hAnsi="Cambria"/>
                <w:bCs/>
                <w:i/>
                <w:sz w:val="24"/>
                <w:szCs w:val="24"/>
              </w:rPr>
            </w:pPr>
            <w:r w:rsidRPr="00800BB5">
              <w:rPr>
                <w:rFonts w:ascii="Cambria" w:eastAsia="Times New Roman" w:hAnsi="Cambria"/>
                <w:bCs/>
                <w:i/>
                <w:sz w:val="24"/>
                <w:szCs w:val="24"/>
              </w:rPr>
              <w:t xml:space="preserve">Total </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East North Central</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323</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(0.58)</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139</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(0.26)</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127</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(0.39)</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75</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sidR="00776FE7">
              <w:rPr>
                <w:rFonts w:ascii="Cambria" w:eastAsia="Times New Roman" w:hAnsi="Cambria"/>
                <w:sz w:val="24"/>
                <w:szCs w:val="24"/>
              </w:rPr>
              <w:t>33</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81</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32</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39</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31</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784</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39</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East South Central</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84</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(0.64)</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39</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(0.35)</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120</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60</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83</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80</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82</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59</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97</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76</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505</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62</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Middle Atlantic</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166</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(0.26)</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111</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(0.17)</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110</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41</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23</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23</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23</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10</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28</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443</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25</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Mountain</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240</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(0.71)</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57</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(0.52)</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188</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75</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110</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85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76</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68</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39</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67</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710</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71</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New England</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23</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(0.23)</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41</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(0.18)</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54</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27</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16</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13</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27</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13</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46</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160</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25</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Pacific</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685</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(0.58)</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179</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(0.51)</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309</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68</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98</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58</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67</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21</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68</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1350</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60</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South Atlantic</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309</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(0.57)</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394</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(0.42)</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392</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61</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115</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108</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62</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75</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51</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1393</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52</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West North Central</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107</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(0.90)</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91</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(0.44)</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123</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79</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64</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45</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59</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43</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63</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43</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507</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56</w:t>
            </w:r>
            <w:r>
              <w:rPr>
                <w:rFonts w:ascii="Cambria" w:eastAsia="Times New Roman" w:hAnsi="Cambria"/>
                <w:sz w:val="24"/>
                <w:szCs w:val="24"/>
              </w:rPr>
              <w:t>)</w:t>
            </w:r>
          </w:p>
        </w:tc>
      </w:tr>
      <w:tr w:rsidR="00857FB7" w:rsidRPr="001C00A9" w:rsidTr="00657370">
        <w:trPr>
          <w:trHeight w:val="537"/>
        </w:trPr>
        <w:tc>
          <w:tcPr>
            <w:tcW w:w="1435" w:type="dxa"/>
            <w:vAlign w:val="center"/>
            <w:hideMark/>
          </w:tcPr>
          <w:p w:rsidR="00EF31AA" w:rsidRPr="001C00A9" w:rsidRDefault="00EF31AA" w:rsidP="00657370">
            <w:pPr>
              <w:rPr>
                <w:rFonts w:ascii="Cambria" w:eastAsia="Times New Roman" w:hAnsi="Cambria"/>
                <w:sz w:val="24"/>
                <w:szCs w:val="24"/>
              </w:rPr>
            </w:pPr>
            <w:r w:rsidRPr="001C00A9">
              <w:rPr>
                <w:rFonts w:ascii="Cambria" w:eastAsia="Times New Roman" w:hAnsi="Cambria"/>
                <w:sz w:val="24"/>
                <w:szCs w:val="24"/>
              </w:rPr>
              <w:t>West South Central</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476</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(0.80)</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181</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(0.66)</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283</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76</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93</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69</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120</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81</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113</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90</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1266</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77</w:t>
            </w:r>
            <w:r>
              <w:rPr>
                <w:rFonts w:ascii="Cambria" w:eastAsia="Times New Roman" w:hAnsi="Cambria"/>
                <w:sz w:val="24"/>
                <w:szCs w:val="24"/>
              </w:rPr>
              <w:t>)</w:t>
            </w:r>
          </w:p>
        </w:tc>
      </w:tr>
      <w:tr w:rsidR="00857FB7" w:rsidRPr="001C00A9" w:rsidTr="00657370">
        <w:trPr>
          <w:trHeight w:val="538"/>
        </w:trPr>
        <w:tc>
          <w:tcPr>
            <w:tcW w:w="1435" w:type="dxa"/>
            <w:vAlign w:val="center"/>
            <w:hideMark/>
          </w:tcPr>
          <w:p w:rsidR="00EF31AA" w:rsidRPr="00800BB5" w:rsidRDefault="00EF31AA" w:rsidP="00657370">
            <w:pPr>
              <w:rPr>
                <w:rFonts w:ascii="Cambria" w:eastAsia="Times New Roman" w:hAnsi="Cambria"/>
                <w:i/>
                <w:sz w:val="24"/>
                <w:szCs w:val="24"/>
              </w:rPr>
            </w:pPr>
            <w:r w:rsidRPr="00800BB5">
              <w:rPr>
                <w:rFonts w:ascii="Cambria" w:eastAsia="Times New Roman" w:hAnsi="Cambria"/>
                <w:i/>
                <w:sz w:val="24"/>
                <w:szCs w:val="24"/>
              </w:rPr>
              <w:t>Total</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2413</w:t>
            </w:r>
          </w:p>
          <w:p w:rsidR="00657370" w:rsidRPr="001C00A9" w:rsidRDefault="00657370" w:rsidP="00657370">
            <w:pPr>
              <w:jc w:val="center"/>
              <w:rPr>
                <w:rFonts w:ascii="Cambria" w:eastAsia="Times New Roman" w:hAnsi="Cambria"/>
                <w:sz w:val="24"/>
                <w:szCs w:val="24"/>
              </w:rPr>
            </w:pPr>
            <w:r>
              <w:rPr>
                <w:rFonts w:ascii="Cambria" w:eastAsia="Times New Roman" w:hAnsi="Cambria"/>
                <w:sz w:val="24"/>
                <w:szCs w:val="24"/>
              </w:rPr>
              <w:t>(</w:t>
            </w:r>
            <w:r w:rsidR="004A0447">
              <w:rPr>
                <w:rFonts w:ascii="Cambria" w:eastAsia="Times New Roman" w:hAnsi="Cambria"/>
                <w:sz w:val="24"/>
                <w:szCs w:val="24"/>
              </w:rPr>
              <w:t>0.57</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1232</w:t>
            </w:r>
          </w:p>
          <w:p w:rsidR="0059401C" w:rsidRPr="001C00A9" w:rsidRDefault="0059401C" w:rsidP="00657370">
            <w:pPr>
              <w:jc w:val="center"/>
              <w:rPr>
                <w:rFonts w:ascii="Cambria" w:eastAsia="Times New Roman" w:hAnsi="Cambria"/>
                <w:sz w:val="24"/>
                <w:szCs w:val="24"/>
              </w:rPr>
            </w:pPr>
            <w:r>
              <w:rPr>
                <w:rFonts w:ascii="Cambria" w:eastAsia="Times New Roman" w:hAnsi="Cambria"/>
                <w:sz w:val="24"/>
                <w:szCs w:val="24"/>
              </w:rPr>
              <w:t>(0.</w:t>
            </w:r>
            <w:r w:rsidR="004A0447">
              <w:rPr>
                <w:rFonts w:ascii="Cambria" w:eastAsia="Times New Roman" w:hAnsi="Cambria"/>
                <w:sz w:val="24"/>
                <w:szCs w:val="24"/>
              </w:rPr>
              <w:t>36</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1706</w:t>
            </w:r>
          </w:p>
          <w:p w:rsidR="0067206E" w:rsidRPr="001C00A9" w:rsidRDefault="0067206E"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59</w:t>
            </w:r>
            <w:r>
              <w:rPr>
                <w:rFonts w:ascii="Cambria" w:eastAsia="Times New Roman" w:hAnsi="Cambria"/>
                <w:sz w:val="24"/>
                <w:szCs w:val="24"/>
              </w:rPr>
              <w:t>)</w:t>
            </w:r>
          </w:p>
        </w:tc>
        <w:tc>
          <w:tcPr>
            <w:tcW w:w="1130"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677</w:t>
            </w:r>
          </w:p>
          <w:p w:rsidR="00776FE7" w:rsidRPr="001C00A9" w:rsidRDefault="00776FE7"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54</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620</w:t>
            </w:r>
          </w:p>
          <w:p w:rsidR="00C67033" w:rsidRPr="001C00A9" w:rsidRDefault="00C670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52</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470</w:t>
            </w:r>
          </w:p>
          <w:p w:rsidR="004E3F33" w:rsidRPr="001C00A9" w:rsidRDefault="004E3F33"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57</w:t>
            </w:r>
            <w:r>
              <w:rPr>
                <w:rFonts w:ascii="Cambria" w:eastAsia="Times New Roman" w:hAnsi="Cambria"/>
                <w:sz w:val="24"/>
                <w:szCs w:val="24"/>
              </w:rPr>
              <w:t>)</w:t>
            </w:r>
          </w:p>
        </w:tc>
        <w:tc>
          <w:tcPr>
            <w:tcW w:w="1131" w:type="dxa"/>
            <w:vAlign w:val="center"/>
            <w:hideMark/>
          </w:tcPr>
          <w:p w:rsidR="00EF31AA" w:rsidRDefault="00EF31AA" w:rsidP="00657370">
            <w:pPr>
              <w:jc w:val="center"/>
              <w:rPr>
                <w:rFonts w:ascii="Cambria" w:eastAsia="Times New Roman" w:hAnsi="Cambria"/>
                <w:sz w:val="24"/>
                <w:szCs w:val="24"/>
              </w:rPr>
            </w:pPr>
            <w:r w:rsidRPr="001C00A9">
              <w:rPr>
                <w:rFonts w:ascii="Cambria" w:eastAsia="Times New Roman" w:hAnsi="Cambria"/>
                <w:sz w:val="24"/>
                <w:szCs w:val="24"/>
              </w:rPr>
              <w:t>7118</w:t>
            </w:r>
          </w:p>
          <w:p w:rsidR="00E66F04" w:rsidRPr="001C00A9" w:rsidRDefault="00E66F04" w:rsidP="00657370">
            <w:pPr>
              <w:jc w:val="center"/>
              <w:rPr>
                <w:rFonts w:ascii="Cambria" w:eastAsia="Times New Roman" w:hAnsi="Cambria"/>
                <w:sz w:val="24"/>
                <w:szCs w:val="24"/>
              </w:rPr>
            </w:pPr>
            <w:r>
              <w:rPr>
                <w:rFonts w:ascii="Cambria" w:eastAsia="Times New Roman" w:hAnsi="Cambria"/>
                <w:sz w:val="24"/>
                <w:szCs w:val="24"/>
              </w:rPr>
              <w:t>(0.</w:t>
            </w:r>
            <w:r>
              <w:rPr>
                <w:rFonts w:ascii="Cambria" w:eastAsia="Times New Roman" w:hAnsi="Cambria"/>
                <w:sz w:val="24"/>
                <w:szCs w:val="24"/>
              </w:rPr>
              <w:t>52</w:t>
            </w:r>
            <w:bookmarkStart w:id="0" w:name="_GoBack"/>
            <w:bookmarkEnd w:id="0"/>
            <w:r>
              <w:rPr>
                <w:rFonts w:ascii="Cambria" w:eastAsia="Times New Roman" w:hAnsi="Cambria"/>
                <w:sz w:val="24"/>
                <w:szCs w:val="24"/>
              </w:rPr>
              <w:t>)</w:t>
            </w:r>
          </w:p>
        </w:tc>
      </w:tr>
      <w:tr w:rsidR="00CF23EE" w:rsidRPr="001C00A9" w:rsidTr="00A03543">
        <w:tc>
          <w:tcPr>
            <w:tcW w:w="9350" w:type="dxa"/>
            <w:gridSpan w:val="8"/>
          </w:tcPr>
          <w:p w:rsidR="00A54250" w:rsidRPr="00A54250" w:rsidRDefault="00CF23EE" w:rsidP="0059401C">
            <w:pPr>
              <w:rPr>
                <w:rFonts w:ascii="Cambria" w:eastAsia="Times New Roman" w:hAnsi="Cambria"/>
                <w:b/>
                <w:sz w:val="24"/>
                <w:szCs w:val="24"/>
              </w:rPr>
            </w:pPr>
            <w:r w:rsidRPr="001C00A9">
              <w:rPr>
                <w:rFonts w:ascii="Cambria" w:eastAsia="Times New Roman" w:hAnsi="Cambria"/>
                <w:i/>
                <w:sz w:val="24"/>
                <w:szCs w:val="24"/>
              </w:rPr>
              <w:t xml:space="preserve">Note: </w:t>
            </w:r>
            <w:r w:rsidR="001C00A9">
              <w:rPr>
                <w:rFonts w:ascii="Cambria" w:eastAsia="Times New Roman" w:hAnsi="Cambria"/>
                <w:sz w:val="24"/>
                <w:szCs w:val="24"/>
              </w:rPr>
              <w:t xml:space="preserve">Data from </w:t>
            </w:r>
            <w:r w:rsidR="001C00A9">
              <w:rPr>
                <w:rFonts w:ascii="Cambria" w:eastAsia="Times New Roman" w:hAnsi="Cambria"/>
                <w:i/>
                <w:sz w:val="24"/>
                <w:szCs w:val="24"/>
              </w:rPr>
              <w:t>Fatal Encounters</w:t>
            </w:r>
            <w:r w:rsidR="001C00A9">
              <w:rPr>
                <w:rFonts w:ascii="Cambria" w:eastAsia="Times New Roman" w:hAnsi="Cambria"/>
                <w:sz w:val="24"/>
                <w:szCs w:val="24"/>
              </w:rPr>
              <w:t>, accessed 5/9/17</w:t>
            </w:r>
            <w:r w:rsidR="00F90007">
              <w:rPr>
                <w:rFonts w:ascii="Cambria" w:eastAsia="Times New Roman" w:hAnsi="Cambria"/>
                <w:sz w:val="24"/>
                <w:szCs w:val="24"/>
              </w:rPr>
              <w:t xml:space="preserve"> </w:t>
            </w:r>
          </w:p>
        </w:tc>
      </w:tr>
    </w:tbl>
    <w:p w:rsidR="00943273" w:rsidRDefault="00943273" w:rsidP="00825945">
      <w:pPr>
        <w:spacing w:line="360" w:lineRule="auto"/>
        <w:rPr>
          <w:rFonts w:ascii="Cambria" w:hAnsi="Cambria"/>
          <w:sz w:val="24"/>
          <w:szCs w:val="24"/>
        </w:rPr>
      </w:pP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Big takeaway: the posterior predictive estimates smooth out the extremes in estimates from small population counties. They also provide more reasonably estimates for the counties with zero observed estimates. For reasonable estimates of population risk, these posterior estimates are superior to the frequentist alternative.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t xml:space="preserve">African Americans at much higher risk of mortality than are whites, risk is generally highest in medium metros, Pacific states. Latino risk also generally higher than white risk, sensitive to division, highest in non-large metro counties, highest in non-core. </w:t>
      </w:r>
    </w:p>
    <w:p w:rsidR="006019F7" w:rsidRPr="009D2D08" w:rsidRDefault="006019F7" w:rsidP="00825945">
      <w:pPr>
        <w:spacing w:line="360" w:lineRule="auto"/>
        <w:rPr>
          <w:rFonts w:ascii="Cambria" w:hAnsi="Cambria"/>
          <w:sz w:val="24"/>
          <w:szCs w:val="24"/>
        </w:rPr>
      </w:pPr>
      <w:r w:rsidRPr="009D2D08">
        <w:rPr>
          <w:rFonts w:ascii="Cambria" w:hAnsi="Cambria"/>
          <w:sz w:val="24"/>
          <w:szCs w:val="24"/>
        </w:rPr>
        <w:lastRenderedPageBreak/>
        <w:t xml:space="preserve">Place matters. Clear regional and metro differences. Pacific states have exceptionally high inequalities. Suggests that local culture, institutions, politics, and systems of structural inequality shape risk.  </w:t>
      </w:r>
    </w:p>
    <w:p w:rsidR="00336093" w:rsidRDefault="00336093">
      <w:pPr>
        <w:rPr>
          <w:rFonts w:ascii="Cambria" w:hAnsi="Cambria"/>
          <w:sz w:val="24"/>
          <w:szCs w:val="24"/>
        </w:rPr>
      </w:pPr>
    </w:p>
    <w:p w:rsidR="006A26AC" w:rsidRDefault="006A26AC">
      <w:pPr>
        <w:rPr>
          <w:rFonts w:ascii="Cambria" w:hAnsi="Cambria"/>
          <w:b/>
          <w:sz w:val="24"/>
          <w:szCs w:val="24"/>
        </w:rPr>
      </w:pPr>
      <w:r>
        <w:rPr>
          <w:rFonts w:ascii="Cambria" w:hAnsi="Cambria"/>
          <w:b/>
          <w:sz w:val="24"/>
          <w:szCs w:val="24"/>
        </w:rPr>
        <w:t>References</w:t>
      </w:r>
    </w:p>
    <w:p w:rsidR="00732AC9" w:rsidRPr="00732AC9" w:rsidRDefault="006A26AC" w:rsidP="00732AC9">
      <w:pPr>
        <w:pStyle w:val="Bibliography"/>
        <w:rPr>
          <w:rFonts w:ascii="Cambria" w:hAnsi="Cambria"/>
          <w:sz w:val="24"/>
        </w:rPr>
      </w:pPr>
      <w:r>
        <w:rPr>
          <w:rFonts w:ascii="Cambria" w:hAnsi="Cambria"/>
          <w:b/>
        </w:rPr>
        <w:fldChar w:fldCharType="begin"/>
      </w:r>
      <w:r w:rsidR="00693234">
        <w:rPr>
          <w:rFonts w:ascii="Cambria" w:hAnsi="Cambria"/>
          <w:b/>
        </w:rPr>
        <w:instrText xml:space="preserve"> ADDIN ZOTERO_BIBL {"custom":[]} CSL_BIBLIOGRAPHY </w:instrText>
      </w:r>
      <w:r>
        <w:rPr>
          <w:rFonts w:ascii="Cambria" w:hAnsi="Cambria"/>
          <w:b/>
        </w:rPr>
        <w:fldChar w:fldCharType="separate"/>
      </w:r>
      <w:r w:rsidR="00732AC9" w:rsidRPr="00732AC9">
        <w:rPr>
          <w:rFonts w:ascii="Cambria" w:hAnsi="Cambria"/>
          <w:sz w:val="24"/>
        </w:rPr>
        <w:t xml:space="preserve">1. </w:t>
      </w:r>
      <w:r w:rsidR="00732AC9" w:rsidRPr="00732AC9">
        <w:rPr>
          <w:rFonts w:ascii="Cambria" w:hAnsi="Cambria"/>
          <w:sz w:val="24"/>
        </w:rPr>
        <w:tab/>
        <w:t xml:space="preserve">James J, ed. </w:t>
      </w:r>
      <w:r w:rsidR="00732AC9" w:rsidRPr="00732AC9">
        <w:rPr>
          <w:rFonts w:ascii="Cambria" w:hAnsi="Cambria"/>
          <w:i/>
          <w:iCs/>
          <w:sz w:val="24"/>
        </w:rPr>
        <w:t>Warfare in the American Homeland: Policing and Prison in a Penal Democracy</w:t>
      </w:r>
      <w:r w:rsidR="00732AC9" w:rsidRPr="00732AC9">
        <w:rPr>
          <w:rFonts w:ascii="Cambria" w:hAnsi="Cambria"/>
          <w:sz w:val="24"/>
        </w:rPr>
        <w:t>. Durham: Duke University Press; 2007.</w:t>
      </w:r>
    </w:p>
    <w:p w:rsidR="00732AC9" w:rsidRPr="00732AC9" w:rsidRDefault="00732AC9" w:rsidP="00732AC9">
      <w:pPr>
        <w:pStyle w:val="Bibliography"/>
        <w:rPr>
          <w:rFonts w:ascii="Cambria" w:hAnsi="Cambria"/>
          <w:sz w:val="24"/>
        </w:rPr>
      </w:pPr>
      <w:r w:rsidRPr="00732AC9">
        <w:rPr>
          <w:rFonts w:ascii="Cambria" w:hAnsi="Cambria"/>
          <w:sz w:val="24"/>
        </w:rPr>
        <w:t xml:space="preserve">2. </w:t>
      </w:r>
      <w:r w:rsidRPr="00732AC9">
        <w:rPr>
          <w:rFonts w:ascii="Cambria" w:hAnsi="Cambria"/>
          <w:sz w:val="24"/>
        </w:rPr>
        <w:tab/>
        <w:t xml:space="preserve">Alang S, McAlpine D, McCreedy E, Hardeman R. Police Brutality and Black Health: Setting the Agenda for Public Health Scholars. </w:t>
      </w:r>
      <w:r w:rsidRPr="00732AC9">
        <w:rPr>
          <w:rFonts w:ascii="Cambria" w:hAnsi="Cambria"/>
          <w:i/>
          <w:iCs/>
          <w:sz w:val="24"/>
        </w:rPr>
        <w:t>Am J Public Health</w:t>
      </w:r>
      <w:r w:rsidRPr="00732AC9">
        <w:rPr>
          <w:rFonts w:ascii="Cambria" w:hAnsi="Cambria"/>
          <w:sz w:val="24"/>
        </w:rPr>
        <w:t>. 2017;107(5):662-665. doi:10.2105/AJPH.2017.303691.</w:t>
      </w:r>
    </w:p>
    <w:p w:rsidR="00732AC9" w:rsidRPr="00732AC9" w:rsidRDefault="00732AC9" w:rsidP="00732AC9">
      <w:pPr>
        <w:pStyle w:val="Bibliography"/>
        <w:rPr>
          <w:rFonts w:ascii="Cambria" w:hAnsi="Cambria"/>
          <w:sz w:val="24"/>
        </w:rPr>
      </w:pPr>
      <w:r w:rsidRPr="00732AC9">
        <w:rPr>
          <w:rFonts w:ascii="Cambria" w:hAnsi="Cambria"/>
          <w:sz w:val="24"/>
        </w:rPr>
        <w:t xml:space="preserve">3. </w:t>
      </w:r>
      <w:r w:rsidRPr="00732AC9">
        <w:rPr>
          <w:rFonts w:ascii="Cambria" w:hAnsi="Cambria"/>
          <w:sz w:val="24"/>
        </w:rPr>
        <w:tab/>
        <w:t xml:space="preserve">Krieger N, Chen JT, Waterman PD, Kiang MV, Feldman J. Police Killings and Police Deaths Are Public Health Data and Can Be Counted. </w:t>
      </w:r>
      <w:r w:rsidRPr="00732AC9">
        <w:rPr>
          <w:rFonts w:ascii="Cambria" w:hAnsi="Cambria"/>
          <w:i/>
          <w:iCs/>
          <w:sz w:val="24"/>
        </w:rPr>
        <w:t>PLOS Med</w:t>
      </w:r>
      <w:r w:rsidRPr="00732AC9">
        <w:rPr>
          <w:rFonts w:ascii="Cambria" w:hAnsi="Cambria"/>
          <w:sz w:val="24"/>
        </w:rPr>
        <w:t>. 2015;12(12):e1001915. doi:10.1371/journal.pmed.1001915.</w:t>
      </w:r>
    </w:p>
    <w:p w:rsidR="00732AC9" w:rsidRPr="00732AC9" w:rsidRDefault="00732AC9" w:rsidP="00732AC9">
      <w:pPr>
        <w:pStyle w:val="Bibliography"/>
        <w:rPr>
          <w:rFonts w:ascii="Cambria" w:hAnsi="Cambria"/>
          <w:sz w:val="24"/>
        </w:rPr>
      </w:pPr>
      <w:r w:rsidRPr="00732AC9">
        <w:rPr>
          <w:rFonts w:ascii="Cambria" w:hAnsi="Cambria"/>
          <w:sz w:val="24"/>
        </w:rPr>
        <w:t xml:space="preserve">4. </w:t>
      </w:r>
      <w:r w:rsidRPr="00732AC9">
        <w:rPr>
          <w:rFonts w:ascii="Cambria" w:hAnsi="Cambria"/>
          <w:sz w:val="24"/>
        </w:rPr>
        <w:tab/>
        <w:t>Burghart DB. Fatal encounters. http://www.fatalencounters.org. Published 2015. Accessed May 9, 2017.</w:t>
      </w:r>
    </w:p>
    <w:p w:rsidR="00732AC9" w:rsidRPr="00732AC9" w:rsidRDefault="00732AC9" w:rsidP="00732AC9">
      <w:pPr>
        <w:pStyle w:val="Bibliography"/>
        <w:rPr>
          <w:rFonts w:ascii="Cambria" w:hAnsi="Cambria"/>
          <w:sz w:val="24"/>
        </w:rPr>
      </w:pPr>
      <w:r w:rsidRPr="00732AC9">
        <w:rPr>
          <w:rFonts w:ascii="Cambria" w:hAnsi="Cambria"/>
          <w:sz w:val="24"/>
        </w:rPr>
        <w:t xml:space="preserve">5. </w:t>
      </w:r>
      <w:r w:rsidRPr="00732AC9">
        <w:rPr>
          <w:rFonts w:ascii="Cambria" w:hAnsi="Cambria"/>
          <w:sz w:val="24"/>
        </w:rPr>
        <w:tab/>
        <w:t xml:space="preserve">Cooper HLF, Fullilove M. Editorial: Excessive Police Violence as a Public Health Issue. </w:t>
      </w:r>
      <w:r w:rsidRPr="00732AC9">
        <w:rPr>
          <w:rFonts w:ascii="Cambria" w:hAnsi="Cambria"/>
          <w:i/>
          <w:iCs/>
          <w:sz w:val="24"/>
        </w:rPr>
        <w:t>J Urban Health</w:t>
      </w:r>
      <w:r w:rsidRPr="00732AC9">
        <w:rPr>
          <w:rFonts w:ascii="Cambria" w:hAnsi="Cambria"/>
          <w:sz w:val="24"/>
        </w:rPr>
        <w:t>. 2016;93(1):1-7. doi:10.1007/s11524-016-0040-2.</w:t>
      </w:r>
    </w:p>
    <w:p w:rsidR="00732AC9" w:rsidRPr="00732AC9" w:rsidRDefault="00732AC9" w:rsidP="00732AC9">
      <w:pPr>
        <w:pStyle w:val="Bibliography"/>
        <w:rPr>
          <w:rFonts w:ascii="Cambria" w:hAnsi="Cambria"/>
          <w:sz w:val="24"/>
        </w:rPr>
      </w:pPr>
      <w:r w:rsidRPr="00732AC9">
        <w:rPr>
          <w:rFonts w:ascii="Cambria" w:hAnsi="Cambria"/>
          <w:sz w:val="24"/>
        </w:rPr>
        <w:t xml:space="preserve">6. </w:t>
      </w:r>
      <w:r w:rsidRPr="00732AC9">
        <w:rPr>
          <w:rFonts w:ascii="Cambria" w:hAnsi="Cambria"/>
          <w:sz w:val="24"/>
        </w:rPr>
        <w:tab/>
        <w:t xml:space="preserve">Crosby AE, Lyons B. Assessing Homicides by and of U.S. Law-Enforcement Officers. </w:t>
      </w:r>
      <w:r w:rsidRPr="00732AC9">
        <w:rPr>
          <w:rFonts w:ascii="Cambria" w:hAnsi="Cambria"/>
          <w:i/>
          <w:iCs/>
          <w:sz w:val="24"/>
        </w:rPr>
        <w:t>N Engl J Med</w:t>
      </w:r>
      <w:r w:rsidRPr="00732AC9">
        <w:rPr>
          <w:rFonts w:ascii="Cambria" w:hAnsi="Cambria"/>
          <w:sz w:val="24"/>
        </w:rPr>
        <w:t>. 2016;375(16):1509-1511. doi:10.1056/NEJMp1609905.</w:t>
      </w:r>
    </w:p>
    <w:p w:rsidR="00732AC9" w:rsidRPr="00732AC9" w:rsidRDefault="00732AC9" w:rsidP="00732AC9">
      <w:pPr>
        <w:pStyle w:val="Bibliography"/>
        <w:rPr>
          <w:rFonts w:ascii="Cambria" w:hAnsi="Cambria"/>
          <w:sz w:val="24"/>
        </w:rPr>
      </w:pPr>
      <w:r w:rsidRPr="00732AC9">
        <w:rPr>
          <w:rFonts w:ascii="Cambria" w:hAnsi="Cambria"/>
          <w:sz w:val="24"/>
        </w:rPr>
        <w:t xml:space="preserve">7. </w:t>
      </w:r>
      <w:r w:rsidRPr="00732AC9">
        <w:rPr>
          <w:rFonts w:ascii="Cambria" w:hAnsi="Cambria"/>
          <w:sz w:val="24"/>
        </w:rPr>
        <w:tab/>
        <w:t xml:space="preserve">Furtado K, Banks KH. A Research Agenda for Racial Equity: Applications of the Ferguson Commission Report to Public Health. </w:t>
      </w:r>
      <w:r w:rsidRPr="00732AC9">
        <w:rPr>
          <w:rFonts w:ascii="Cambria" w:hAnsi="Cambria"/>
          <w:i/>
          <w:iCs/>
          <w:sz w:val="24"/>
        </w:rPr>
        <w:t>Am J Public Health</w:t>
      </w:r>
      <w:r w:rsidRPr="00732AC9">
        <w:rPr>
          <w:rFonts w:ascii="Cambria" w:hAnsi="Cambria"/>
          <w:sz w:val="24"/>
        </w:rPr>
        <w:t>. 2016;106(11):1926-1931. doi:10.2105/AJPH.2016.303390.</w:t>
      </w:r>
    </w:p>
    <w:p w:rsidR="00732AC9" w:rsidRPr="00732AC9" w:rsidRDefault="00732AC9" w:rsidP="00732AC9">
      <w:pPr>
        <w:pStyle w:val="Bibliography"/>
        <w:rPr>
          <w:rFonts w:ascii="Cambria" w:hAnsi="Cambria"/>
          <w:sz w:val="24"/>
        </w:rPr>
      </w:pPr>
      <w:r w:rsidRPr="00732AC9">
        <w:rPr>
          <w:rFonts w:ascii="Cambria" w:hAnsi="Cambria"/>
          <w:sz w:val="24"/>
        </w:rPr>
        <w:t xml:space="preserve">8. </w:t>
      </w:r>
      <w:r w:rsidRPr="00732AC9">
        <w:rPr>
          <w:rFonts w:ascii="Cambria" w:hAnsi="Cambria"/>
          <w:sz w:val="24"/>
        </w:rPr>
        <w:tab/>
        <w:t xml:space="preserve">Krieger N, Kiang MV, Chen JT, Waterman PD. Trends in US deaths due to legal intervention among black and white men, age 15–34 years, by county income level: 1960–2010. </w:t>
      </w:r>
      <w:r w:rsidRPr="00732AC9">
        <w:rPr>
          <w:rFonts w:ascii="Cambria" w:hAnsi="Cambria"/>
          <w:i/>
          <w:iCs/>
          <w:sz w:val="24"/>
        </w:rPr>
        <w:t>Harv Public Health Rev</w:t>
      </w:r>
      <w:r w:rsidRPr="00732AC9">
        <w:rPr>
          <w:rFonts w:ascii="Cambria" w:hAnsi="Cambria"/>
          <w:sz w:val="24"/>
        </w:rPr>
        <w:t>. 2015;3:1–5.</w:t>
      </w:r>
    </w:p>
    <w:p w:rsidR="00732AC9" w:rsidRPr="00732AC9" w:rsidRDefault="00732AC9" w:rsidP="00732AC9">
      <w:pPr>
        <w:pStyle w:val="Bibliography"/>
        <w:rPr>
          <w:rFonts w:ascii="Cambria" w:hAnsi="Cambria"/>
          <w:sz w:val="24"/>
        </w:rPr>
      </w:pPr>
      <w:r w:rsidRPr="00732AC9">
        <w:rPr>
          <w:rFonts w:ascii="Cambria" w:hAnsi="Cambria"/>
          <w:sz w:val="24"/>
        </w:rPr>
        <w:t xml:space="preserve">9. </w:t>
      </w:r>
      <w:r w:rsidRPr="00732AC9">
        <w:rPr>
          <w:rFonts w:ascii="Cambria" w:hAnsi="Cambria"/>
          <w:sz w:val="24"/>
        </w:rPr>
        <w:tab/>
        <w:t xml:space="preserve">Wildeman C, Noonan ME, Golinelli D, Carson EA, Emanuel N. State-level variation in the imprisonment-mortality relationship, 2001- 2010. </w:t>
      </w:r>
      <w:r w:rsidRPr="00732AC9">
        <w:rPr>
          <w:rFonts w:ascii="Cambria" w:hAnsi="Cambria"/>
          <w:i/>
          <w:iCs/>
          <w:sz w:val="24"/>
        </w:rPr>
        <w:t>Demogr Res</w:t>
      </w:r>
      <w:r w:rsidRPr="00732AC9">
        <w:rPr>
          <w:rFonts w:ascii="Cambria" w:hAnsi="Cambria"/>
          <w:sz w:val="24"/>
        </w:rPr>
        <w:t>. 2016;34:359–372.</w:t>
      </w:r>
    </w:p>
    <w:p w:rsidR="00732AC9" w:rsidRPr="00732AC9" w:rsidRDefault="00732AC9" w:rsidP="00732AC9">
      <w:pPr>
        <w:pStyle w:val="Bibliography"/>
        <w:rPr>
          <w:rFonts w:ascii="Cambria" w:hAnsi="Cambria"/>
          <w:sz w:val="24"/>
        </w:rPr>
      </w:pPr>
      <w:r w:rsidRPr="00732AC9">
        <w:rPr>
          <w:rFonts w:ascii="Cambria" w:hAnsi="Cambria"/>
          <w:sz w:val="24"/>
        </w:rPr>
        <w:t xml:space="preserve">10. </w:t>
      </w:r>
      <w:r w:rsidRPr="00732AC9">
        <w:rPr>
          <w:rFonts w:ascii="Cambria" w:hAnsi="Cambria"/>
          <w:sz w:val="24"/>
        </w:rPr>
        <w:tab/>
        <w:t xml:space="preserve">Dwyer-Lindgren L, Bertozzi-Villa A, Stubbs RW, et al. Inequalities in Life Expectancy Among US Counties, 1980 to 2014: Temporal Trends and Key Drivers. </w:t>
      </w:r>
      <w:r w:rsidRPr="00732AC9">
        <w:rPr>
          <w:rFonts w:ascii="Cambria" w:hAnsi="Cambria"/>
          <w:i/>
          <w:iCs/>
          <w:sz w:val="24"/>
        </w:rPr>
        <w:t>JAMA Intern Med</w:t>
      </w:r>
      <w:r w:rsidRPr="00732AC9">
        <w:rPr>
          <w:rFonts w:ascii="Cambria" w:hAnsi="Cambria"/>
          <w:sz w:val="24"/>
        </w:rPr>
        <w:t>. May 2017. doi:10.1001/jamainternmed.2017.0918.</w:t>
      </w:r>
    </w:p>
    <w:p w:rsidR="00732AC9" w:rsidRPr="00732AC9" w:rsidRDefault="00732AC9" w:rsidP="00732AC9">
      <w:pPr>
        <w:pStyle w:val="Bibliography"/>
        <w:rPr>
          <w:rFonts w:ascii="Cambria" w:hAnsi="Cambria"/>
          <w:sz w:val="24"/>
        </w:rPr>
      </w:pPr>
      <w:r w:rsidRPr="00732AC9">
        <w:rPr>
          <w:rFonts w:ascii="Cambria" w:hAnsi="Cambria"/>
          <w:sz w:val="24"/>
        </w:rPr>
        <w:t xml:space="preserve">11. </w:t>
      </w:r>
      <w:r w:rsidRPr="00732AC9">
        <w:rPr>
          <w:rFonts w:ascii="Cambria" w:hAnsi="Cambria"/>
          <w:sz w:val="24"/>
        </w:rPr>
        <w:tab/>
        <w:t xml:space="preserve">Capers IB. Policing, race, and place. </w:t>
      </w:r>
      <w:r w:rsidRPr="00732AC9">
        <w:rPr>
          <w:rFonts w:ascii="Cambria" w:hAnsi="Cambria"/>
          <w:i/>
          <w:iCs/>
          <w:sz w:val="24"/>
        </w:rPr>
        <w:t>Harv Civ Rights-Civ Lib Law Rev</w:t>
      </w:r>
      <w:r w:rsidRPr="00732AC9">
        <w:rPr>
          <w:rFonts w:ascii="Cambria" w:hAnsi="Cambria"/>
          <w:sz w:val="24"/>
        </w:rPr>
        <w:t>. 2009;44:43-78.</w:t>
      </w:r>
    </w:p>
    <w:p w:rsidR="00732AC9" w:rsidRPr="00732AC9" w:rsidRDefault="00732AC9" w:rsidP="00732AC9">
      <w:pPr>
        <w:pStyle w:val="Bibliography"/>
        <w:rPr>
          <w:rFonts w:ascii="Cambria" w:hAnsi="Cambria"/>
          <w:sz w:val="24"/>
        </w:rPr>
      </w:pPr>
      <w:r w:rsidRPr="00732AC9">
        <w:rPr>
          <w:rFonts w:ascii="Cambria" w:hAnsi="Cambria"/>
          <w:sz w:val="24"/>
        </w:rPr>
        <w:lastRenderedPageBreak/>
        <w:t xml:space="preserve">12. </w:t>
      </w:r>
      <w:r w:rsidRPr="00732AC9">
        <w:rPr>
          <w:rFonts w:ascii="Cambria" w:hAnsi="Cambria"/>
          <w:sz w:val="24"/>
        </w:rPr>
        <w:tab/>
        <w:t xml:space="preserve">Beckett K, Nyrop K, Pfingst L. Race, Drugs, and Policing: Understanding Disparities in Drug Delivery Arrests. </w:t>
      </w:r>
      <w:r w:rsidRPr="00732AC9">
        <w:rPr>
          <w:rFonts w:ascii="Cambria" w:hAnsi="Cambria"/>
          <w:i/>
          <w:iCs/>
          <w:sz w:val="24"/>
        </w:rPr>
        <w:t>Criminology</w:t>
      </w:r>
      <w:r w:rsidRPr="00732AC9">
        <w:rPr>
          <w:rFonts w:ascii="Cambria" w:hAnsi="Cambria"/>
          <w:sz w:val="24"/>
        </w:rPr>
        <w:t>. 2006;44(1):105-137. doi:10.1111/j.1745-9125.2006.00044.x.</w:t>
      </w:r>
    </w:p>
    <w:p w:rsidR="00732AC9" w:rsidRPr="00732AC9" w:rsidRDefault="00732AC9" w:rsidP="00732AC9">
      <w:pPr>
        <w:pStyle w:val="Bibliography"/>
        <w:rPr>
          <w:rFonts w:ascii="Cambria" w:hAnsi="Cambria"/>
          <w:sz w:val="24"/>
        </w:rPr>
      </w:pPr>
      <w:r w:rsidRPr="00732AC9">
        <w:rPr>
          <w:rFonts w:ascii="Cambria" w:hAnsi="Cambria"/>
          <w:sz w:val="24"/>
        </w:rPr>
        <w:t xml:space="preserve">13. </w:t>
      </w:r>
      <w:r w:rsidRPr="00732AC9">
        <w:rPr>
          <w:rFonts w:ascii="Cambria" w:hAnsi="Cambria"/>
          <w:sz w:val="24"/>
        </w:rPr>
        <w:tab/>
        <w:t xml:space="preserve">Taylor K-Y. </w:t>
      </w:r>
      <w:r w:rsidRPr="00732AC9">
        <w:rPr>
          <w:rFonts w:ascii="Cambria" w:hAnsi="Cambria"/>
          <w:i/>
          <w:iCs/>
          <w:sz w:val="24"/>
        </w:rPr>
        <w:t>From #Blacklivesmatter to Black Liberation</w:t>
      </w:r>
      <w:r w:rsidRPr="00732AC9">
        <w:rPr>
          <w:rFonts w:ascii="Cambria" w:hAnsi="Cambria"/>
          <w:sz w:val="24"/>
        </w:rPr>
        <w:t>. Chicago, IL: Haymarket Books; 2016. http://books.google.com/books?hl=en&amp;lr=&amp;id=kB6GCwAAQBAJ&amp;oi=fnd&amp;pg=PP1&amp;dq=info:yeks29K_9EsJ:scholar.google.com&amp;ots=7nFWOwQAmI&amp;sig=AoZajxVueZ3-TeIrHroAbuKY-WE.</w:t>
      </w:r>
    </w:p>
    <w:p w:rsidR="00732AC9" w:rsidRPr="00732AC9" w:rsidRDefault="00732AC9" w:rsidP="00732AC9">
      <w:pPr>
        <w:pStyle w:val="Bibliography"/>
        <w:rPr>
          <w:rFonts w:ascii="Cambria" w:hAnsi="Cambria"/>
          <w:sz w:val="24"/>
        </w:rPr>
      </w:pPr>
      <w:r w:rsidRPr="00732AC9">
        <w:rPr>
          <w:rFonts w:ascii="Cambria" w:hAnsi="Cambria"/>
          <w:sz w:val="24"/>
        </w:rPr>
        <w:t xml:space="preserve">14. </w:t>
      </w:r>
      <w:r w:rsidRPr="00732AC9">
        <w:rPr>
          <w:rFonts w:ascii="Cambria" w:hAnsi="Cambria"/>
          <w:sz w:val="24"/>
        </w:rPr>
        <w:tab/>
        <w:t xml:space="preserve">Losier T. “The Public Does Not Believe the Police Can Police Themselves”: The Mayoral Administration of Harold Washington and the Problem of Police Impunity. </w:t>
      </w:r>
      <w:r w:rsidRPr="00732AC9">
        <w:rPr>
          <w:rFonts w:ascii="Cambria" w:hAnsi="Cambria"/>
          <w:i/>
          <w:iCs/>
          <w:sz w:val="24"/>
        </w:rPr>
        <w:t>J Urban Hist</w:t>
      </w:r>
      <w:r w:rsidRPr="00732AC9">
        <w:rPr>
          <w:rFonts w:ascii="Cambria" w:hAnsi="Cambria"/>
          <w:sz w:val="24"/>
        </w:rPr>
        <w:t>. May 2017:0096144217705490. doi:10.1177/0096144217705490.</w:t>
      </w:r>
    </w:p>
    <w:p w:rsidR="00732AC9" w:rsidRPr="00732AC9" w:rsidRDefault="00732AC9" w:rsidP="00732AC9">
      <w:pPr>
        <w:pStyle w:val="Bibliography"/>
        <w:rPr>
          <w:rFonts w:ascii="Cambria" w:hAnsi="Cambria"/>
          <w:sz w:val="24"/>
        </w:rPr>
      </w:pPr>
      <w:r w:rsidRPr="00732AC9">
        <w:rPr>
          <w:rFonts w:ascii="Cambria" w:hAnsi="Cambria"/>
          <w:sz w:val="24"/>
        </w:rPr>
        <w:t xml:space="preserve">15. </w:t>
      </w:r>
      <w:r w:rsidRPr="00732AC9">
        <w:rPr>
          <w:rFonts w:ascii="Cambria" w:hAnsi="Cambria"/>
          <w:sz w:val="24"/>
        </w:rPr>
        <w:tab/>
        <w:t xml:space="preserve">DeGue S, Fowler KA, Calkins C. Deaths Due to Use of Lethal Force by Law Enforcement: Findings From the National Violent Death Reporting System, 17 U.S. States, 2009–2012. </w:t>
      </w:r>
      <w:r w:rsidRPr="00732AC9">
        <w:rPr>
          <w:rFonts w:ascii="Cambria" w:hAnsi="Cambria"/>
          <w:i/>
          <w:iCs/>
          <w:sz w:val="24"/>
        </w:rPr>
        <w:t>Am J Prev Med</w:t>
      </w:r>
      <w:r w:rsidRPr="00732AC9">
        <w:rPr>
          <w:rFonts w:ascii="Cambria" w:hAnsi="Cambria"/>
          <w:sz w:val="24"/>
        </w:rPr>
        <w:t>. 2016;51(5, Supplement 3):S173-S187. doi:10.1016/j.amepre.2016.08.027.</w:t>
      </w:r>
    </w:p>
    <w:p w:rsidR="00732AC9" w:rsidRPr="00732AC9" w:rsidRDefault="00732AC9" w:rsidP="00732AC9">
      <w:pPr>
        <w:pStyle w:val="Bibliography"/>
        <w:rPr>
          <w:rFonts w:ascii="Cambria" w:hAnsi="Cambria"/>
          <w:sz w:val="24"/>
        </w:rPr>
      </w:pPr>
      <w:r w:rsidRPr="00732AC9">
        <w:rPr>
          <w:rFonts w:ascii="Cambria" w:hAnsi="Cambria"/>
          <w:sz w:val="24"/>
        </w:rPr>
        <w:t xml:space="preserve">16. </w:t>
      </w:r>
      <w:r w:rsidRPr="00732AC9">
        <w:rPr>
          <w:rFonts w:ascii="Cambria" w:hAnsi="Cambria"/>
          <w:sz w:val="24"/>
        </w:rPr>
        <w:tab/>
        <w:t xml:space="preserve">Miller TR, Lawrence BA, Carlson NN, et al. Perils of police action: a cautionary tale from US data sets. </w:t>
      </w:r>
      <w:r w:rsidRPr="00732AC9">
        <w:rPr>
          <w:rFonts w:ascii="Cambria" w:hAnsi="Cambria"/>
          <w:i/>
          <w:iCs/>
          <w:sz w:val="24"/>
        </w:rPr>
        <w:t>Inj Prev</w:t>
      </w:r>
      <w:r w:rsidRPr="00732AC9">
        <w:rPr>
          <w:rFonts w:ascii="Cambria" w:hAnsi="Cambria"/>
          <w:sz w:val="24"/>
        </w:rPr>
        <w:t>. 2017;23(1):27-32. doi:10.1136/injuryprev-2016-042023.</w:t>
      </w:r>
    </w:p>
    <w:p w:rsidR="00732AC9" w:rsidRPr="00732AC9" w:rsidRDefault="00732AC9" w:rsidP="00732AC9">
      <w:pPr>
        <w:pStyle w:val="Bibliography"/>
        <w:rPr>
          <w:rFonts w:ascii="Cambria" w:hAnsi="Cambria"/>
          <w:sz w:val="24"/>
        </w:rPr>
      </w:pPr>
      <w:r w:rsidRPr="00732AC9">
        <w:rPr>
          <w:rFonts w:ascii="Cambria" w:hAnsi="Cambria"/>
          <w:sz w:val="24"/>
        </w:rPr>
        <w:t xml:space="preserve">17. </w:t>
      </w:r>
      <w:r w:rsidRPr="00732AC9">
        <w:rPr>
          <w:rFonts w:ascii="Cambria" w:hAnsi="Cambria"/>
          <w:sz w:val="24"/>
        </w:rPr>
        <w:tab/>
        <w:t xml:space="preserve">Ross CT. A Multi-Level Bayesian Analysis of Racial Bias in Police Shootings at the County-Level in the United States, 2011–2014. </w:t>
      </w:r>
      <w:r w:rsidRPr="00732AC9">
        <w:rPr>
          <w:rFonts w:ascii="Cambria" w:hAnsi="Cambria"/>
          <w:i/>
          <w:iCs/>
          <w:sz w:val="24"/>
        </w:rPr>
        <w:t>PLOS ONE</w:t>
      </w:r>
      <w:r w:rsidRPr="00732AC9">
        <w:rPr>
          <w:rFonts w:ascii="Cambria" w:hAnsi="Cambria"/>
          <w:sz w:val="24"/>
        </w:rPr>
        <w:t>. 2015;10(11):e0141854. doi:10.1371/journal.pone.0141854.</w:t>
      </w:r>
    </w:p>
    <w:p w:rsidR="00732AC9" w:rsidRPr="00732AC9" w:rsidRDefault="00732AC9" w:rsidP="00732AC9">
      <w:pPr>
        <w:pStyle w:val="Bibliography"/>
        <w:rPr>
          <w:rFonts w:ascii="Cambria" w:hAnsi="Cambria"/>
          <w:sz w:val="24"/>
        </w:rPr>
      </w:pPr>
      <w:r w:rsidRPr="00732AC9">
        <w:rPr>
          <w:rFonts w:ascii="Cambria" w:hAnsi="Cambria"/>
          <w:sz w:val="24"/>
        </w:rPr>
        <w:t xml:space="preserve">18. </w:t>
      </w:r>
      <w:r w:rsidRPr="00732AC9">
        <w:rPr>
          <w:rFonts w:ascii="Cambria" w:hAnsi="Cambria"/>
          <w:sz w:val="24"/>
        </w:rPr>
        <w:tab/>
        <w:t xml:space="preserve">Barker V. </w:t>
      </w:r>
      <w:r w:rsidRPr="00732AC9">
        <w:rPr>
          <w:rFonts w:ascii="Cambria" w:hAnsi="Cambria"/>
          <w:i/>
          <w:iCs/>
          <w:sz w:val="24"/>
        </w:rPr>
        <w:t>The Politics of Imprisonment: How the Democratic Process Shapes the Way America Punishes Offenders</w:t>
      </w:r>
      <w:r w:rsidRPr="00732AC9">
        <w:rPr>
          <w:rFonts w:ascii="Cambria" w:hAnsi="Cambria"/>
          <w:sz w:val="24"/>
        </w:rPr>
        <w:t>. New York, NY: Oxford University Press; 2009.</w:t>
      </w:r>
    </w:p>
    <w:p w:rsidR="00732AC9" w:rsidRPr="00732AC9" w:rsidRDefault="00732AC9" w:rsidP="00732AC9">
      <w:pPr>
        <w:pStyle w:val="Bibliography"/>
        <w:rPr>
          <w:rFonts w:ascii="Cambria" w:hAnsi="Cambria"/>
          <w:sz w:val="24"/>
        </w:rPr>
      </w:pPr>
      <w:r w:rsidRPr="00732AC9">
        <w:rPr>
          <w:rFonts w:ascii="Cambria" w:hAnsi="Cambria"/>
          <w:sz w:val="24"/>
        </w:rPr>
        <w:t xml:space="preserve">19. </w:t>
      </w:r>
      <w:r w:rsidRPr="00732AC9">
        <w:rPr>
          <w:rFonts w:ascii="Cambria" w:hAnsi="Cambria"/>
          <w:sz w:val="24"/>
        </w:rPr>
        <w:tab/>
        <w:t xml:space="preserve">Planty M, Burch AM, Banks D, Couzens L, Blanton C, Cribb D. </w:t>
      </w:r>
      <w:r w:rsidRPr="00732AC9">
        <w:rPr>
          <w:rFonts w:ascii="Cambria" w:hAnsi="Cambria"/>
          <w:i/>
          <w:iCs/>
          <w:sz w:val="24"/>
        </w:rPr>
        <w:t>Arrest-Related Deaths Program: Data Quality Profile</w:t>
      </w:r>
      <w:r w:rsidRPr="00732AC9">
        <w:rPr>
          <w:rFonts w:ascii="Cambria" w:hAnsi="Cambria"/>
          <w:sz w:val="24"/>
        </w:rPr>
        <w:t>. Washington, DC: U.S. Department of Justice, Office of Justice Programs, Bureau of Justice Statistics; 2015. https://www.publicsafety.gc.ca/lbrr/archives/cnmcs-plcng/cn33640-eng.pdf.</w:t>
      </w:r>
    </w:p>
    <w:p w:rsidR="00732AC9" w:rsidRPr="00732AC9" w:rsidRDefault="00732AC9" w:rsidP="00732AC9">
      <w:pPr>
        <w:pStyle w:val="Bibliography"/>
        <w:rPr>
          <w:rFonts w:ascii="Cambria" w:hAnsi="Cambria"/>
          <w:sz w:val="24"/>
        </w:rPr>
      </w:pPr>
      <w:r w:rsidRPr="00732AC9">
        <w:rPr>
          <w:rFonts w:ascii="Cambria" w:hAnsi="Cambria"/>
          <w:sz w:val="24"/>
        </w:rPr>
        <w:t xml:space="preserve">20. </w:t>
      </w:r>
      <w:r w:rsidRPr="00732AC9">
        <w:rPr>
          <w:rFonts w:ascii="Cambria" w:hAnsi="Cambria"/>
          <w:sz w:val="24"/>
        </w:rPr>
        <w:tab/>
        <w:t xml:space="preserve">Klinger D, Rosenfeld R, Isom D, Deckard M. Race, Crime, and the Micro-Ecology of Deadly Force. </w:t>
      </w:r>
      <w:r w:rsidRPr="00732AC9">
        <w:rPr>
          <w:rFonts w:ascii="Cambria" w:hAnsi="Cambria"/>
          <w:i/>
          <w:iCs/>
          <w:sz w:val="24"/>
        </w:rPr>
        <w:t>Criminol Public Policy</w:t>
      </w:r>
      <w:r w:rsidRPr="00732AC9">
        <w:rPr>
          <w:rFonts w:ascii="Cambria" w:hAnsi="Cambria"/>
          <w:sz w:val="24"/>
        </w:rPr>
        <w:t>. 2016;15(1):193-222. doi:10.1111/1745-9133.12174.</w:t>
      </w:r>
    </w:p>
    <w:p w:rsidR="00732AC9" w:rsidRPr="00732AC9" w:rsidRDefault="00732AC9" w:rsidP="00732AC9">
      <w:pPr>
        <w:pStyle w:val="Bibliography"/>
        <w:rPr>
          <w:rFonts w:ascii="Cambria" w:hAnsi="Cambria"/>
          <w:sz w:val="24"/>
        </w:rPr>
      </w:pPr>
      <w:r w:rsidRPr="00732AC9">
        <w:rPr>
          <w:rFonts w:ascii="Cambria" w:hAnsi="Cambria"/>
          <w:sz w:val="24"/>
        </w:rPr>
        <w:t xml:space="preserve">21. </w:t>
      </w:r>
      <w:r w:rsidRPr="00732AC9">
        <w:rPr>
          <w:rFonts w:ascii="Cambria" w:hAnsi="Cambria"/>
          <w:sz w:val="24"/>
        </w:rPr>
        <w:tab/>
        <w:t xml:space="preserve">Feldman JM, Chen JT, Waterman PD, Krieger N. Temporal Trends and Racial/Ethnic Inequalities for Legal Intervention Injuries Treated in Emergency Departments: US Men and Women Age 15–34, 2001–2014. </w:t>
      </w:r>
      <w:r w:rsidRPr="00732AC9">
        <w:rPr>
          <w:rFonts w:ascii="Cambria" w:hAnsi="Cambria"/>
          <w:i/>
          <w:iCs/>
          <w:sz w:val="24"/>
        </w:rPr>
        <w:t>J Urban Health</w:t>
      </w:r>
      <w:r w:rsidRPr="00732AC9">
        <w:rPr>
          <w:rFonts w:ascii="Cambria" w:hAnsi="Cambria"/>
          <w:sz w:val="24"/>
        </w:rPr>
        <w:t>. 2016;93(5):797-807. doi:10.1007/s11524-016-0076-3.</w:t>
      </w:r>
    </w:p>
    <w:p w:rsidR="00732AC9" w:rsidRPr="00732AC9" w:rsidRDefault="00732AC9" w:rsidP="00732AC9">
      <w:pPr>
        <w:pStyle w:val="Bibliography"/>
        <w:rPr>
          <w:rFonts w:ascii="Cambria" w:hAnsi="Cambria"/>
          <w:sz w:val="24"/>
        </w:rPr>
      </w:pPr>
      <w:r w:rsidRPr="00732AC9">
        <w:rPr>
          <w:rFonts w:ascii="Cambria" w:hAnsi="Cambria"/>
          <w:sz w:val="24"/>
        </w:rPr>
        <w:t xml:space="preserve">22. </w:t>
      </w:r>
      <w:r w:rsidRPr="00732AC9">
        <w:rPr>
          <w:rFonts w:ascii="Cambria" w:hAnsi="Cambria"/>
          <w:sz w:val="24"/>
        </w:rPr>
        <w:tab/>
        <w:t xml:space="preserve">Kaufman EJ, Karp DN, Delgado MK. US Emergency Department Encounters for Law Enforcement–Associated Injury, 2006-2012. </w:t>
      </w:r>
      <w:r w:rsidRPr="00732AC9">
        <w:rPr>
          <w:rFonts w:ascii="Cambria" w:hAnsi="Cambria"/>
          <w:i/>
          <w:iCs/>
          <w:sz w:val="24"/>
        </w:rPr>
        <w:t>JAMA Surg</w:t>
      </w:r>
      <w:r w:rsidRPr="00732AC9">
        <w:rPr>
          <w:rFonts w:ascii="Cambria" w:hAnsi="Cambria"/>
          <w:sz w:val="24"/>
        </w:rPr>
        <w:t>. April 2017. doi:10.1001/jamasurg.2017.0574.</w:t>
      </w:r>
    </w:p>
    <w:p w:rsidR="00732AC9" w:rsidRPr="00732AC9" w:rsidRDefault="00732AC9" w:rsidP="00732AC9">
      <w:pPr>
        <w:pStyle w:val="Bibliography"/>
        <w:rPr>
          <w:rFonts w:ascii="Cambria" w:hAnsi="Cambria"/>
          <w:sz w:val="24"/>
        </w:rPr>
      </w:pPr>
      <w:r w:rsidRPr="00732AC9">
        <w:rPr>
          <w:rFonts w:ascii="Cambria" w:hAnsi="Cambria"/>
          <w:sz w:val="24"/>
        </w:rPr>
        <w:lastRenderedPageBreak/>
        <w:t xml:space="preserve">23. </w:t>
      </w:r>
      <w:r w:rsidRPr="00732AC9">
        <w:rPr>
          <w:rFonts w:ascii="Cambria" w:hAnsi="Cambria"/>
          <w:sz w:val="24"/>
        </w:rPr>
        <w:tab/>
        <w:t xml:space="preserve">Barber C, Azrael D, Cohen A, et al. Homicides by Police: Comparing Counts From the National Violent Death Reporting System, Vital Statistics, and Supplementary Homicide Reports. </w:t>
      </w:r>
      <w:r w:rsidRPr="00732AC9">
        <w:rPr>
          <w:rFonts w:ascii="Cambria" w:hAnsi="Cambria"/>
          <w:i/>
          <w:iCs/>
          <w:sz w:val="24"/>
        </w:rPr>
        <w:t>Am J Public Health</w:t>
      </w:r>
      <w:r w:rsidRPr="00732AC9">
        <w:rPr>
          <w:rFonts w:ascii="Cambria" w:hAnsi="Cambria"/>
          <w:sz w:val="24"/>
        </w:rPr>
        <w:t>. 2016;106(5):922-927. doi:10.2105/AJPH.2016.303074.</w:t>
      </w:r>
    </w:p>
    <w:p w:rsidR="00732AC9" w:rsidRPr="00732AC9" w:rsidRDefault="00732AC9" w:rsidP="00732AC9">
      <w:pPr>
        <w:pStyle w:val="Bibliography"/>
        <w:rPr>
          <w:rFonts w:ascii="Cambria" w:hAnsi="Cambria"/>
          <w:sz w:val="24"/>
        </w:rPr>
      </w:pPr>
      <w:r w:rsidRPr="00732AC9">
        <w:rPr>
          <w:rFonts w:ascii="Cambria" w:hAnsi="Cambria"/>
          <w:sz w:val="24"/>
        </w:rPr>
        <w:t xml:space="preserve">24. </w:t>
      </w:r>
      <w:r w:rsidRPr="00732AC9">
        <w:rPr>
          <w:rFonts w:ascii="Cambria" w:hAnsi="Cambria"/>
          <w:sz w:val="24"/>
        </w:rPr>
        <w:tab/>
        <w:t xml:space="preserve">Banks D, Ruddle P, Kennedy E, Planty M. </w:t>
      </w:r>
      <w:r w:rsidRPr="00732AC9">
        <w:rPr>
          <w:rFonts w:ascii="Cambria" w:hAnsi="Cambria"/>
          <w:i/>
          <w:iCs/>
          <w:sz w:val="24"/>
        </w:rPr>
        <w:t>Arrest-Related Deaths Program Redesign Study, 2015-216: Preliminary Findings</w:t>
      </w:r>
      <w:r w:rsidRPr="00732AC9">
        <w:rPr>
          <w:rFonts w:ascii="Cambria" w:hAnsi="Cambria"/>
          <w:sz w:val="24"/>
        </w:rPr>
        <w:t>. Washington, DC: U.S. Department of Justice, Office of Justice Programs, Bureau of Justice Statistics; 2016. https://www.bjs.gov/content/pub/pdf/ardprs1516pf.pdf. Accessed May 8, 2017.</w:t>
      </w:r>
    </w:p>
    <w:p w:rsidR="00732AC9" w:rsidRPr="00732AC9" w:rsidRDefault="00732AC9" w:rsidP="00732AC9">
      <w:pPr>
        <w:pStyle w:val="Bibliography"/>
        <w:rPr>
          <w:rFonts w:ascii="Cambria" w:hAnsi="Cambria"/>
          <w:sz w:val="24"/>
        </w:rPr>
      </w:pPr>
      <w:r w:rsidRPr="00732AC9">
        <w:rPr>
          <w:rFonts w:ascii="Cambria" w:hAnsi="Cambria"/>
          <w:sz w:val="24"/>
        </w:rPr>
        <w:t xml:space="preserve">25. </w:t>
      </w:r>
      <w:r w:rsidRPr="00732AC9">
        <w:rPr>
          <w:rFonts w:ascii="Cambria" w:hAnsi="Cambria"/>
          <w:sz w:val="24"/>
        </w:rPr>
        <w:tab/>
        <w:t xml:space="preserve">Ruggles SJ, Alexander JT, Genadek K, Goeken R, Schroeder MB, Sobek M. </w:t>
      </w:r>
      <w:r w:rsidRPr="00732AC9">
        <w:rPr>
          <w:rFonts w:ascii="Cambria" w:hAnsi="Cambria"/>
          <w:i/>
          <w:iCs/>
          <w:sz w:val="24"/>
        </w:rPr>
        <w:t>Integrated Public Use Microdata Series: Version 5.0 [Machine-Readable Database]</w:t>
      </w:r>
      <w:r w:rsidRPr="00732AC9">
        <w:rPr>
          <w:rFonts w:ascii="Cambria" w:hAnsi="Cambria"/>
          <w:sz w:val="24"/>
        </w:rPr>
        <w:t>. Minneapolis, MN: University of Minnesota; 2010.</w:t>
      </w:r>
    </w:p>
    <w:p w:rsidR="00732AC9" w:rsidRPr="00732AC9" w:rsidRDefault="00732AC9" w:rsidP="00732AC9">
      <w:pPr>
        <w:pStyle w:val="Bibliography"/>
        <w:rPr>
          <w:rFonts w:ascii="Cambria" w:hAnsi="Cambria"/>
          <w:sz w:val="24"/>
        </w:rPr>
      </w:pPr>
      <w:r w:rsidRPr="00732AC9">
        <w:rPr>
          <w:rFonts w:ascii="Cambria" w:hAnsi="Cambria"/>
          <w:sz w:val="24"/>
        </w:rPr>
        <w:t xml:space="preserve">26. </w:t>
      </w:r>
      <w:r w:rsidRPr="00732AC9">
        <w:rPr>
          <w:rFonts w:ascii="Cambria" w:hAnsi="Cambria"/>
          <w:sz w:val="24"/>
        </w:rPr>
        <w:tab/>
        <w:t xml:space="preserve">Imai K, Khanna K. Improving ecological inference by predicting individual ethnicity from voter registration records. </w:t>
      </w:r>
      <w:r w:rsidRPr="00732AC9">
        <w:rPr>
          <w:rFonts w:ascii="Cambria" w:hAnsi="Cambria"/>
          <w:i/>
          <w:iCs/>
          <w:sz w:val="24"/>
        </w:rPr>
        <w:t>Polit Anal</w:t>
      </w:r>
      <w:r w:rsidRPr="00732AC9">
        <w:rPr>
          <w:rFonts w:ascii="Cambria" w:hAnsi="Cambria"/>
          <w:sz w:val="24"/>
        </w:rPr>
        <w:t>. 2016;24(2):263–272.</w:t>
      </w:r>
    </w:p>
    <w:p w:rsidR="007B5DA5" w:rsidRDefault="006A26AC">
      <w:pPr>
        <w:rPr>
          <w:rFonts w:ascii="Cambria" w:hAnsi="Cambria"/>
          <w:b/>
          <w:sz w:val="24"/>
          <w:szCs w:val="24"/>
        </w:rPr>
      </w:pPr>
      <w:r>
        <w:rPr>
          <w:rFonts w:ascii="Cambria" w:hAnsi="Cambria"/>
          <w:b/>
          <w:sz w:val="24"/>
          <w:szCs w:val="24"/>
        </w:rPr>
        <w:fldChar w:fldCharType="end"/>
      </w:r>
      <w:r w:rsidR="007B5DA5">
        <w:rPr>
          <w:rFonts w:ascii="Cambria" w:hAnsi="Cambria"/>
          <w:b/>
          <w:sz w:val="24"/>
          <w:szCs w:val="24"/>
        </w:rPr>
        <w:br w:type="page"/>
      </w:r>
    </w:p>
    <w:p w:rsidR="00336093" w:rsidRDefault="00336093" w:rsidP="007B5DA5">
      <w:pPr>
        <w:spacing w:line="360" w:lineRule="auto"/>
        <w:rPr>
          <w:rFonts w:ascii="Cambria" w:hAnsi="Cambria"/>
          <w:b/>
          <w:sz w:val="24"/>
          <w:szCs w:val="24"/>
        </w:rPr>
      </w:pPr>
      <w:r>
        <w:rPr>
          <w:rFonts w:ascii="Cambria" w:hAnsi="Cambria"/>
          <w:b/>
          <w:sz w:val="24"/>
          <w:szCs w:val="24"/>
        </w:rPr>
        <w:lastRenderedPageBreak/>
        <w:t>Appendix</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Models:</w:t>
      </w:r>
    </w:p>
    <w:p w:rsidR="00957437" w:rsidRPr="009D2D08" w:rsidRDefault="00957437" w:rsidP="00957437">
      <w:pPr>
        <w:spacing w:line="360" w:lineRule="auto"/>
        <w:rPr>
          <w:rFonts w:ascii="Cambria" w:hAnsi="Cambria"/>
          <w:sz w:val="24"/>
          <w:szCs w:val="24"/>
        </w:rPr>
      </w:pP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alpha (intercept prior) calculated from Krieger et al. 2015</w:t>
      </w:r>
    </w:p>
    <w:p w:rsidR="00957437" w:rsidRPr="009D2D08" w:rsidRDefault="00957437" w:rsidP="00957437">
      <w:pPr>
        <w:spacing w:line="360" w:lineRule="auto"/>
        <w:rPr>
          <w:rFonts w:ascii="Cambria" w:hAnsi="Cambria"/>
          <w:sz w:val="24"/>
          <w:szCs w:val="24"/>
        </w:rPr>
      </w:pP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$$log(E(y|X)) = \beta_0 + \beta_1x + \gamma + \varepsilon + log(offset)$$</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$$\beta_0 \sim Normal(log(\alpha) - log(offset), 10) $$</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 \beta_1 \sim Normal (0, 2.5) $$</w:t>
      </w:r>
    </w:p>
    <w:p w:rsidR="00957437" w:rsidRPr="009D2D08" w:rsidRDefault="00957437" w:rsidP="00957437">
      <w:pPr>
        <w:spacing w:line="360" w:lineRule="auto"/>
        <w:rPr>
          <w:rFonts w:ascii="Cambria" w:hAnsi="Cambria"/>
          <w:sz w:val="24"/>
          <w:szCs w:val="24"/>
        </w:rPr>
      </w:pPr>
      <w:r w:rsidRPr="009D2D08">
        <w:rPr>
          <w:rFonts w:ascii="Cambria" w:hAnsi="Cambria"/>
          <w:sz w:val="24"/>
          <w:szCs w:val="24"/>
        </w:rPr>
        <w:t>$$ \gamma, \varepsilon \sim MVN(0, \Sigma) $$</w:t>
      </w:r>
    </w:p>
    <w:p w:rsidR="00957437" w:rsidRPr="007B5DA5" w:rsidRDefault="00957437" w:rsidP="00957437">
      <w:pPr>
        <w:spacing w:line="360" w:lineRule="auto"/>
        <w:rPr>
          <w:rFonts w:ascii="Cambria" w:hAnsi="Cambria"/>
          <w:b/>
          <w:sz w:val="24"/>
          <w:szCs w:val="24"/>
        </w:rPr>
      </w:pPr>
      <w:r w:rsidRPr="009D2D08">
        <w:rPr>
          <w:rFonts w:ascii="Cambria" w:hAnsi="Cambria"/>
          <w:sz w:val="24"/>
          <w:szCs w:val="24"/>
        </w:rPr>
        <w:t>$$ \Sigma \sim decov(1, 1, 1, 1) $$</w:t>
      </w:r>
    </w:p>
    <w:p w:rsidR="00336093" w:rsidRPr="009D2D08" w:rsidRDefault="00336093" w:rsidP="00FD189F">
      <w:pPr>
        <w:spacing w:line="240" w:lineRule="auto"/>
        <w:rPr>
          <w:rFonts w:ascii="Cambria" w:hAnsi="Cambria"/>
          <w:sz w:val="24"/>
          <w:szCs w:val="24"/>
        </w:rPr>
      </w:pPr>
    </w:p>
    <w:tbl>
      <w:tblPr>
        <w:tblStyle w:val="TableGridLight"/>
        <w:tblW w:w="0" w:type="auto"/>
        <w:tblLook w:val="04A0" w:firstRow="1" w:lastRow="0" w:firstColumn="1" w:lastColumn="0" w:noHBand="0" w:noVBand="1"/>
      </w:tblPr>
      <w:tblGrid>
        <w:gridCol w:w="4675"/>
        <w:gridCol w:w="4675"/>
      </w:tblGrid>
      <w:tr w:rsidR="00336093" w:rsidRPr="009D2D08" w:rsidTr="00A03543">
        <w:tc>
          <w:tcPr>
            <w:tcW w:w="9350" w:type="dxa"/>
            <w:gridSpan w:val="2"/>
          </w:tcPr>
          <w:p w:rsidR="00336093" w:rsidRPr="009D2D08" w:rsidRDefault="00336093" w:rsidP="00FD189F">
            <w:pPr>
              <w:rPr>
                <w:rFonts w:ascii="Cambria" w:hAnsi="Cambria"/>
                <w:sz w:val="24"/>
                <w:szCs w:val="24"/>
              </w:rPr>
            </w:pPr>
            <w:r w:rsidRPr="009D2D08">
              <w:rPr>
                <w:rFonts w:ascii="Cambria" w:hAnsi="Cambria"/>
                <w:sz w:val="24"/>
                <w:szCs w:val="24"/>
              </w:rPr>
              <w:t>Appendix Table 1. States in Census Divisions</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Division Name</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States Included</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East North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IL, IN, OH, MI, WI</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East South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AL, KY, MS, TN</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Middle Atlantic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NJ, NY, PA</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Mountain</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AZ, CO, ID, MT, NM, NV, UT, WY</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New England</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CT, MA, ME, NH, VT</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Pacific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AK, CA, HI, OR, WA</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South Atlantic</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 xml:space="preserve">DE, FL, GA, MD, NC, SC, VA, WV </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West North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 xml:space="preserve">IA, KS, MN, MO, ND, NE, SD </w:t>
            </w:r>
          </w:p>
        </w:tc>
      </w:tr>
      <w:tr w:rsidR="00336093" w:rsidRPr="009D2D08" w:rsidTr="00A03543">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West South Central</w:t>
            </w:r>
          </w:p>
        </w:tc>
        <w:tc>
          <w:tcPr>
            <w:tcW w:w="4675" w:type="dxa"/>
          </w:tcPr>
          <w:p w:rsidR="00336093" w:rsidRPr="009D2D08" w:rsidRDefault="00336093" w:rsidP="00FD189F">
            <w:pPr>
              <w:rPr>
                <w:rFonts w:ascii="Cambria" w:hAnsi="Cambria"/>
                <w:sz w:val="24"/>
                <w:szCs w:val="24"/>
              </w:rPr>
            </w:pPr>
            <w:r w:rsidRPr="009D2D08">
              <w:rPr>
                <w:rFonts w:ascii="Cambria" w:hAnsi="Cambria"/>
                <w:sz w:val="24"/>
                <w:szCs w:val="24"/>
              </w:rPr>
              <w:t>AR, LA, OK, TX</w:t>
            </w:r>
          </w:p>
        </w:tc>
      </w:tr>
      <w:tr w:rsidR="00336093" w:rsidRPr="009D2D08" w:rsidTr="00A03543">
        <w:tc>
          <w:tcPr>
            <w:tcW w:w="9350" w:type="dxa"/>
            <w:gridSpan w:val="2"/>
          </w:tcPr>
          <w:p w:rsidR="00336093" w:rsidRPr="009D2D08" w:rsidRDefault="00336093" w:rsidP="00FD189F">
            <w:pPr>
              <w:rPr>
                <w:rFonts w:ascii="Cambria" w:hAnsi="Cambria"/>
                <w:sz w:val="24"/>
                <w:szCs w:val="24"/>
              </w:rPr>
            </w:pPr>
            <w:r w:rsidRPr="009D2D08">
              <w:rPr>
                <w:rFonts w:ascii="Cambria" w:hAnsi="Cambria"/>
                <w:sz w:val="24"/>
                <w:szCs w:val="24"/>
              </w:rPr>
              <w:t>ADD CITATION</w:t>
            </w:r>
          </w:p>
        </w:tc>
      </w:tr>
    </w:tbl>
    <w:p w:rsidR="007B5DA5" w:rsidRDefault="007B5DA5" w:rsidP="00FD189F">
      <w:pPr>
        <w:spacing w:line="240" w:lineRule="auto"/>
        <w:rPr>
          <w:rFonts w:ascii="Cambria" w:hAnsi="Cambria"/>
          <w:sz w:val="24"/>
          <w:szCs w:val="24"/>
        </w:rPr>
      </w:pPr>
    </w:p>
    <w:p w:rsidR="007B5DA5" w:rsidRDefault="007B5DA5">
      <w:pPr>
        <w:rPr>
          <w:rFonts w:ascii="Cambria" w:hAnsi="Cambria"/>
          <w:sz w:val="24"/>
          <w:szCs w:val="24"/>
        </w:rPr>
      </w:pPr>
      <w:r>
        <w:rPr>
          <w:rFonts w:ascii="Cambria" w:hAnsi="Cambria"/>
          <w:sz w:val="24"/>
          <w:szCs w:val="24"/>
        </w:rPr>
        <w:br w:type="page"/>
      </w:r>
    </w:p>
    <w:tbl>
      <w:tblPr>
        <w:tblStyle w:val="TableGridLight"/>
        <w:tblW w:w="0" w:type="auto"/>
        <w:tblLook w:val="04A0" w:firstRow="1" w:lastRow="0" w:firstColumn="1" w:lastColumn="0" w:noHBand="0" w:noVBand="1"/>
      </w:tblPr>
      <w:tblGrid>
        <w:gridCol w:w="2335"/>
        <w:gridCol w:w="4950"/>
        <w:gridCol w:w="2065"/>
      </w:tblGrid>
      <w:tr w:rsidR="00336093" w:rsidRPr="009D2D08" w:rsidTr="00A03543">
        <w:tc>
          <w:tcPr>
            <w:tcW w:w="9350" w:type="dxa"/>
            <w:gridSpan w:val="3"/>
          </w:tcPr>
          <w:p w:rsidR="00336093" w:rsidRPr="009D2D08" w:rsidRDefault="00336093" w:rsidP="00FD189F">
            <w:pPr>
              <w:rPr>
                <w:rFonts w:ascii="Cambria" w:hAnsi="Cambria"/>
                <w:sz w:val="24"/>
                <w:szCs w:val="24"/>
              </w:rPr>
            </w:pPr>
            <w:r w:rsidRPr="009D2D08">
              <w:rPr>
                <w:rFonts w:ascii="Cambria" w:hAnsi="Cambria"/>
                <w:sz w:val="24"/>
                <w:szCs w:val="24"/>
              </w:rPr>
              <w:lastRenderedPageBreak/>
              <w:t>Appendix Table 2. Description of NCHS Urban-Rural County Classification</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County Type</w:t>
            </w:r>
          </w:p>
        </w:tc>
        <w:tc>
          <w:tcPr>
            <w:tcW w:w="4950" w:type="dxa"/>
          </w:tcPr>
          <w:p w:rsidR="00336093" w:rsidRPr="009D2D08" w:rsidRDefault="00336093" w:rsidP="00FD189F">
            <w:pPr>
              <w:rPr>
                <w:rFonts w:ascii="Cambria" w:hAnsi="Cambria"/>
                <w:sz w:val="24"/>
                <w:szCs w:val="24"/>
              </w:rPr>
            </w:pPr>
            <w:r w:rsidRPr="009D2D08">
              <w:rPr>
                <w:rFonts w:ascii="Cambria" w:hAnsi="Cambria"/>
                <w:sz w:val="24"/>
                <w:szCs w:val="24"/>
              </w:rPr>
              <w:t>Description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Number of Counties</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Large Central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counties in MSA of 1 million population that: 1) contain the entire population of the largest principal city of the MSA, or 2) are completely contained within the largest principal city of the MSA, or 3) contain at least 250,000 residents of any principal city in the MSA.</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68</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Large Fringe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counties in MSA of 1 million or more population that do not qualify as large central</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368</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Medium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Medium metro counties in MSA of 250,000-999,999 population.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372</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Small Metro</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Small metro counties are counties in MSAs of less than 250,000 population.</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358</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Micropolitan</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Nonmetropolitan counties: Micropolitan counties in micropolitan statistical area</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641</w:t>
            </w:r>
          </w:p>
        </w:tc>
      </w:tr>
      <w:tr w:rsidR="00336093" w:rsidRPr="009D2D08" w:rsidTr="00A03543">
        <w:tc>
          <w:tcPr>
            <w:tcW w:w="2335" w:type="dxa"/>
          </w:tcPr>
          <w:p w:rsidR="00336093" w:rsidRPr="009D2D08" w:rsidRDefault="00336093" w:rsidP="00FD189F">
            <w:pPr>
              <w:rPr>
                <w:rFonts w:ascii="Cambria" w:hAnsi="Cambria"/>
                <w:sz w:val="24"/>
                <w:szCs w:val="24"/>
              </w:rPr>
            </w:pPr>
            <w:r w:rsidRPr="009D2D08">
              <w:rPr>
                <w:rFonts w:ascii="Cambria" w:hAnsi="Cambria"/>
                <w:sz w:val="24"/>
                <w:szCs w:val="24"/>
              </w:rPr>
              <w:t>Noncore</w:t>
            </w:r>
          </w:p>
        </w:tc>
        <w:tc>
          <w:tcPr>
            <w:tcW w:w="4950" w:type="dxa"/>
          </w:tcPr>
          <w:p w:rsidR="00336093" w:rsidRPr="009D2D08" w:rsidRDefault="00336093" w:rsidP="00FD189F">
            <w:pPr>
              <w:rPr>
                <w:rFonts w:ascii="Cambria" w:hAnsi="Cambria"/>
                <w:sz w:val="24"/>
                <w:szCs w:val="24"/>
              </w:rPr>
            </w:pPr>
            <w:r w:rsidRPr="009D2D08">
              <w:rPr>
                <w:rFonts w:ascii="Cambria" w:hAnsi="Cambria" w:cs="Helvetica"/>
                <w:color w:val="000000"/>
                <w:sz w:val="24"/>
                <w:szCs w:val="24"/>
                <w:shd w:val="clear" w:color="auto" w:fill="FFFFFF"/>
              </w:rPr>
              <w:t>Noncore counties not in micropolitan statistical areas</w:t>
            </w:r>
          </w:p>
        </w:tc>
        <w:tc>
          <w:tcPr>
            <w:tcW w:w="2065" w:type="dxa"/>
          </w:tcPr>
          <w:p w:rsidR="00336093" w:rsidRPr="009D2D08" w:rsidRDefault="00336093" w:rsidP="00FD189F">
            <w:pPr>
              <w:rPr>
                <w:rFonts w:ascii="Cambria" w:hAnsi="Cambria"/>
                <w:sz w:val="24"/>
                <w:szCs w:val="24"/>
              </w:rPr>
            </w:pPr>
            <w:r w:rsidRPr="009D2D08">
              <w:rPr>
                <w:rFonts w:ascii="Cambria" w:hAnsi="Cambria"/>
                <w:sz w:val="24"/>
                <w:szCs w:val="24"/>
              </w:rPr>
              <w:t>1333</w:t>
            </w:r>
          </w:p>
        </w:tc>
      </w:tr>
      <w:tr w:rsidR="00336093" w:rsidRPr="009D2D08" w:rsidTr="00A03543">
        <w:tc>
          <w:tcPr>
            <w:tcW w:w="9350" w:type="dxa"/>
            <w:gridSpan w:val="3"/>
          </w:tcPr>
          <w:p w:rsidR="00336093" w:rsidRPr="009D2D08" w:rsidRDefault="00336093" w:rsidP="00FD189F">
            <w:pPr>
              <w:rPr>
                <w:rFonts w:ascii="Cambria" w:hAnsi="Cambria"/>
                <w:sz w:val="24"/>
                <w:szCs w:val="24"/>
              </w:rPr>
            </w:pPr>
            <w:r w:rsidRPr="009D2D08">
              <w:rPr>
                <w:rFonts w:ascii="Cambria" w:hAnsi="Cambria"/>
                <w:sz w:val="24"/>
                <w:szCs w:val="24"/>
              </w:rPr>
              <w:t>Citation: https://www.cdc.gov/nchs/data/series/sr_02/sr02_166.pdf</w:t>
            </w:r>
          </w:p>
        </w:tc>
      </w:tr>
    </w:tbl>
    <w:p w:rsidR="00336093" w:rsidRDefault="00336093" w:rsidP="00FD189F">
      <w:pPr>
        <w:spacing w:line="240" w:lineRule="auto"/>
        <w:rPr>
          <w:rFonts w:ascii="Cambria" w:hAnsi="Cambria"/>
          <w:b/>
          <w:sz w:val="24"/>
          <w:szCs w:val="24"/>
        </w:rPr>
      </w:pPr>
    </w:p>
    <w:p w:rsidR="00AC2177" w:rsidRDefault="00AC2177">
      <w:pPr>
        <w:rPr>
          <w:rFonts w:ascii="Cambria" w:hAnsi="Cambria"/>
          <w:sz w:val="24"/>
          <w:szCs w:val="24"/>
        </w:rPr>
      </w:pPr>
      <w:r>
        <w:rPr>
          <w:rFonts w:ascii="Cambria" w:hAnsi="Cambria"/>
          <w:sz w:val="24"/>
          <w:szCs w:val="24"/>
        </w:rPr>
        <w:br w:type="page"/>
      </w:r>
    </w:p>
    <w:tbl>
      <w:tblPr>
        <w:tblStyle w:val="TableGridLight"/>
        <w:tblW w:w="0" w:type="auto"/>
        <w:tblLook w:val="04A0" w:firstRow="1" w:lastRow="0" w:firstColumn="1" w:lastColumn="0" w:noHBand="0" w:noVBand="1"/>
      </w:tblPr>
      <w:tblGrid>
        <w:gridCol w:w="3259"/>
        <w:gridCol w:w="2024"/>
        <w:gridCol w:w="2033"/>
        <w:gridCol w:w="2034"/>
      </w:tblGrid>
      <w:tr w:rsidR="0038562D" w:rsidTr="00A03543">
        <w:tc>
          <w:tcPr>
            <w:tcW w:w="0" w:type="auto"/>
            <w:gridSpan w:val="4"/>
            <w:hideMark/>
          </w:tcPr>
          <w:p w:rsidR="0038562D" w:rsidRDefault="0038562D" w:rsidP="00F52E66">
            <w:pPr>
              <w:jc w:val="center"/>
              <w:textAlignment w:val="top"/>
              <w:rPr>
                <w:rFonts w:eastAsia="Times New Roman"/>
                <w:sz w:val="24"/>
                <w:szCs w:val="24"/>
              </w:rPr>
            </w:pPr>
            <w:r>
              <w:rPr>
                <w:rFonts w:eastAsia="Times New Roman"/>
              </w:rPr>
              <w:lastRenderedPageBreak/>
              <w:t xml:space="preserve">Posterior police related mortality  by race/ethnicity, census region, and metro type, 95 percent credible intervals </w:t>
            </w:r>
          </w:p>
        </w:tc>
      </w:tr>
      <w:tr w:rsidR="0038562D" w:rsidTr="00A03543">
        <w:tc>
          <w:tcPr>
            <w:tcW w:w="0" w:type="auto"/>
            <w:hideMark/>
          </w:tcPr>
          <w:p w:rsidR="0038562D" w:rsidRDefault="0038562D" w:rsidP="00F52E66">
            <w:pPr>
              <w:jc w:val="center"/>
              <w:rPr>
                <w:rFonts w:eastAsia="Times New Roman"/>
                <w:b/>
                <w:bCs/>
              </w:rPr>
            </w:pPr>
            <w:r>
              <w:rPr>
                <w:rFonts w:eastAsia="Times New Roman"/>
                <w:b/>
                <w:bCs/>
              </w:rPr>
              <w:t xml:space="preserve">County Name </w:t>
            </w:r>
          </w:p>
        </w:tc>
        <w:tc>
          <w:tcPr>
            <w:tcW w:w="0" w:type="auto"/>
            <w:hideMark/>
          </w:tcPr>
          <w:p w:rsidR="0038562D" w:rsidRDefault="0038562D" w:rsidP="00F52E66">
            <w:pPr>
              <w:jc w:val="center"/>
              <w:rPr>
                <w:rFonts w:eastAsia="Times New Roman"/>
                <w:b/>
                <w:bCs/>
              </w:rPr>
            </w:pPr>
            <w:r>
              <w:rPr>
                <w:rFonts w:eastAsia="Times New Roman"/>
                <w:b/>
                <w:bCs/>
              </w:rPr>
              <w:t xml:space="preserve">Black </w:t>
            </w:r>
          </w:p>
        </w:tc>
        <w:tc>
          <w:tcPr>
            <w:tcW w:w="0" w:type="auto"/>
            <w:hideMark/>
          </w:tcPr>
          <w:p w:rsidR="0038562D" w:rsidRDefault="0038562D" w:rsidP="00F52E66">
            <w:pPr>
              <w:jc w:val="center"/>
              <w:rPr>
                <w:rFonts w:eastAsia="Times New Roman"/>
                <w:b/>
                <w:bCs/>
              </w:rPr>
            </w:pPr>
            <w:r>
              <w:rPr>
                <w:rFonts w:eastAsia="Times New Roman"/>
                <w:b/>
                <w:bCs/>
              </w:rPr>
              <w:t xml:space="preserve">Latinx </w:t>
            </w:r>
          </w:p>
        </w:tc>
        <w:tc>
          <w:tcPr>
            <w:tcW w:w="0" w:type="auto"/>
            <w:hideMark/>
          </w:tcPr>
          <w:p w:rsidR="0038562D" w:rsidRDefault="0038562D" w:rsidP="00F52E66">
            <w:pPr>
              <w:jc w:val="center"/>
              <w:rPr>
                <w:rFonts w:eastAsia="Times New Roman"/>
                <w:b/>
                <w:bCs/>
              </w:rPr>
            </w:pPr>
            <w:r>
              <w:rPr>
                <w:rFonts w:eastAsia="Times New Roman"/>
                <w:b/>
                <w:bCs/>
              </w:rPr>
              <w:t xml:space="preserve">White </w:t>
            </w:r>
          </w:p>
        </w:tc>
      </w:tr>
      <w:tr w:rsidR="0038562D" w:rsidTr="00A03543">
        <w:tc>
          <w:tcPr>
            <w:tcW w:w="0" w:type="auto"/>
            <w:hideMark/>
          </w:tcPr>
          <w:p w:rsidR="0038562D" w:rsidRDefault="0038562D" w:rsidP="00F52E66">
            <w:pPr>
              <w:rPr>
                <w:rFonts w:eastAsia="Times New Roman"/>
              </w:rPr>
            </w:pPr>
            <w:r>
              <w:rPr>
                <w:rFonts w:eastAsia="Times New Roman"/>
              </w:rPr>
              <w:t xml:space="preserve">East North Central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1.1 (0.4, 2.4) </w:t>
            </w:r>
          </w:p>
        </w:tc>
        <w:tc>
          <w:tcPr>
            <w:tcW w:w="0" w:type="auto"/>
            <w:hideMark/>
          </w:tcPr>
          <w:p w:rsidR="0038562D" w:rsidRDefault="0038562D" w:rsidP="00F52E66">
            <w:pPr>
              <w:rPr>
                <w:rFonts w:eastAsia="Times New Roman"/>
              </w:rPr>
            </w:pPr>
            <w:r>
              <w:rPr>
                <w:rFonts w:eastAsia="Times New Roman"/>
              </w:rPr>
              <w:t xml:space="preserve">0.3 (0, 0.8)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0.7 (0.2, 1.6) </w:t>
            </w:r>
          </w:p>
        </w:tc>
        <w:tc>
          <w:tcPr>
            <w:tcW w:w="0" w:type="auto"/>
            <w:hideMark/>
          </w:tcPr>
          <w:p w:rsidR="0038562D" w:rsidRDefault="0038562D" w:rsidP="00F52E66">
            <w:pPr>
              <w:rPr>
                <w:rFonts w:eastAsia="Times New Roman"/>
              </w:rPr>
            </w:pPr>
            <w:r>
              <w:rPr>
                <w:rFonts w:eastAsia="Times New Roman"/>
              </w:rPr>
              <w:t xml:space="preserve">0.2 (0, 0.7) </w:t>
            </w:r>
          </w:p>
        </w:tc>
        <w:tc>
          <w:tcPr>
            <w:tcW w:w="0" w:type="auto"/>
            <w:hideMark/>
          </w:tcPr>
          <w:p w:rsidR="0038562D" w:rsidRDefault="0038562D" w:rsidP="00F52E66">
            <w:pPr>
              <w:rPr>
                <w:rFonts w:eastAsia="Times New Roman"/>
              </w:rPr>
            </w:pPr>
            <w:r>
              <w:rPr>
                <w:rFonts w:eastAsia="Times New Roman"/>
              </w:rPr>
              <w:t xml:space="preserve">0.2 (0.1, 0.4)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1.2 (0.4, 2.7) </w:t>
            </w:r>
          </w:p>
        </w:tc>
        <w:tc>
          <w:tcPr>
            <w:tcW w:w="0" w:type="auto"/>
            <w:hideMark/>
          </w:tcPr>
          <w:p w:rsidR="0038562D" w:rsidRDefault="0038562D" w:rsidP="00F52E66">
            <w:pPr>
              <w:rPr>
                <w:rFonts w:eastAsia="Times New Roman"/>
              </w:rPr>
            </w:pPr>
            <w:r>
              <w:rPr>
                <w:rFonts w:eastAsia="Times New Roman"/>
              </w:rPr>
              <w:t xml:space="preserve">0.3 (0.1, 1)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0.8 (0.3, 1.8) </w:t>
            </w:r>
          </w:p>
        </w:tc>
        <w:tc>
          <w:tcPr>
            <w:tcW w:w="0" w:type="auto"/>
            <w:hideMark/>
          </w:tcPr>
          <w:p w:rsidR="0038562D" w:rsidRDefault="0038562D" w:rsidP="00F52E66">
            <w:pPr>
              <w:rPr>
                <w:rFonts w:eastAsia="Times New Roman"/>
              </w:rPr>
            </w:pPr>
            <w:r>
              <w:rPr>
                <w:rFonts w:eastAsia="Times New Roman"/>
              </w:rPr>
              <w:t xml:space="preserve">0.3 (0, 0.8)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0.9 (0.3, 2) </w:t>
            </w:r>
          </w:p>
        </w:tc>
        <w:tc>
          <w:tcPr>
            <w:tcW w:w="0" w:type="auto"/>
            <w:hideMark/>
          </w:tcPr>
          <w:p w:rsidR="0038562D" w:rsidRDefault="0038562D" w:rsidP="00F52E66">
            <w:pPr>
              <w:rPr>
                <w:rFonts w:eastAsia="Times New Roman"/>
              </w:rPr>
            </w:pPr>
            <w:r>
              <w:rPr>
                <w:rFonts w:eastAsia="Times New Roman"/>
              </w:rPr>
              <w:t xml:space="preserve">0.3 (0.1, 0.9)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0.8 (0.3, 1.8) </w:t>
            </w:r>
          </w:p>
        </w:tc>
        <w:tc>
          <w:tcPr>
            <w:tcW w:w="0" w:type="auto"/>
            <w:hideMark/>
          </w:tcPr>
          <w:p w:rsidR="0038562D" w:rsidRDefault="0038562D" w:rsidP="00F52E66">
            <w:pPr>
              <w:rPr>
                <w:rFonts w:eastAsia="Times New Roman"/>
              </w:rPr>
            </w:pPr>
            <w:r>
              <w:rPr>
                <w:rFonts w:eastAsia="Times New Roman"/>
              </w:rPr>
              <w:t xml:space="preserve">0.3 (0.1, 1)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East South Central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0.9 (0.3, 2.1) </w:t>
            </w:r>
          </w:p>
        </w:tc>
        <w:tc>
          <w:tcPr>
            <w:tcW w:w="0" w:type="auto"/>
            <w:hideMark/>
          </w:tcPr>
          <w:p w:rsidR="0038562D" w:rsidRDefault="0038562D" w:rsidP="00F52E66">
            <w:pPr>
              <w:rPr>
                <w:rFonts w:eastAsia="Times New Roman"/>
              </w:rPr>
            </w:pPr>
            <w:r>
              <w:rPr>
                <w:rFonts w:eastAsia="Times New Roman"/>
              </w:rPr>
              <w:t xml:space="preserve">0.2 (0, 0.8) </w:t>
            </w:r>
          </w:p>
        </w:tc>
        <w:tc>
          <w:tcPr>
            <w:tcW w:w="0" w:type="auto"/>
            <w:hideMark/>
          </w:tcPr>
          <w:p w:rsidR="0038562D" w:rsidRDefault="0038562D" w:rsidP="00F52E66">
            <w:pPr>
              <w:rPr>
                <w:rFonts w:eastAsia="Times New Roman"/>
              </w:rPr>
            </w:pPr>
            <w:r>
              <w:rPr>
                <w:rFonts w:eastAsia="Times New Roman"/>
              </w:rPr>
              <w:t xml:space="preserve">0.4 (0.1, 0.9)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0.6 (0.2, 1.4) </w:t>
            </w:r>
          </w:p>
        </w:tc>
        <w:tc>
          <w:tcPr>
            <w:tcW w:w="0" w:type="auto"/>
            <w:hideMark/>
          </w:tcPr>
          <w:p w:rsidR="0038562D" w:rsidRDefault="0038562D" w:rsidP="00F52E66">
            <w:pPr>
              <w:rPr>
                <w:rFonts w:eastAsia="Times New Roman"/>
              </w:rPr>
            </w:pPr>
            <w:r>
              <w:rPr>
                <w:rFonts w:eastAsia="Times New Roman"/>
              </w:rPr>
              <w:t xml:space="preserve">0.2 (0, 0.7) </w:t>
            </w:r>
          </w:p>
        </w:tc>
        <w:tc>
          <w:tcPr>
            <w:tcW w:w="0" w:type="auto"/>
            <w:hideMark/>
          </w:tcPr>
          <w:p w:rsidR="0038562D" w:rsidRDefault="0038562D" w:rsidP="00F52E66">
            <w:pPr>
              <w:rPr>
                <w:rFonts w:eastAsia="Times New Roman"/>
              </w:rPr>
            </w:pPr>
            <w:r>
              <w:rPr>
                <w:rFonts w:eastAsia="Times New Roman"/>
              </w:rPr>
              <w:t xml:space="preserve">0.4 (0.1, 0.8)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1.1 (0.4, 2.3) </w:t>
            </w:r>
          </w:p>
        </w:tc>
        <w:tc>
          <w:tcPr>
            <w:tcW w:w="0" w:type="auto"/>
            <w:hideMark/>
          </w:tcPr>
          <w:p w:rsidR="0038562D" w:rsidRDefault="0038562D" w:rsidP="00F52E66">
            <w:pPr>
              <w:rPr>
                <w:rFonts w:eastAsia="Times New Roman"/>
              </w:rPr>
            </w:pPr>
            <w:r>
              <w:rPr>
                <w:rFonts w:eastAsia="Times New Roman"/>
              </w:rPr>
              <w:t xml:space="preserve">0.3 (0.1, 1) </w:t>
            </w:r>
          </w:p>
        </w:tc>
        <w:tc>
          <w:tcPr>
            <w:tcW w:w="0" w:type="auto"/>
            <w:hideMark/>
          </w:tcPr>
          <w:p w:rsidR="0038562D" w:rsidRDefault="0038562D" w:rsidP="00F52E66">
            <w:pPr>
              <w:rPr>
                <w:rFonts w:eastAsia="Times New Roman"/>
              </w:rPr>
            </w:pPr>
            <w:r>
              <w:rPr>
                <w:rFonts w:eastAsia="Times New Roman"/>
              </w:rPr>
              <w:t xml:space="preserve">0.5 (0.2, 1.1)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0.7 (0.2, 1.6) </w:t>
            </w:r>
          </w:p>
        </w:tc>
        <w:tc>
          <w:tcPr>
            <w:tcW w:w="0" w:type="auto"/>
            <w:hideMark/>
          </w:tcPr>
          <w:p w:rsidR="0038562D" w:rsidRDefault="0038562D" w:rsidP="00F52E66">
            <w:pPr>
              <w:rPr>
                <w:rFonts w:eastAsia="Times New Roman"/>
              </w:rPr>
            </w:pPr>
            <w:r>
              <w:rPr>
                <w:rFonts w:eastAsia="Times New Roman"/>
              </w:rPr>
              <w:t xml:space="preserve">0.2 (0, 0.8) </w:t>
            </w:r>
          </w:p>
        </w:tc>
        <w:tc>
          <w:tcPr>
            <w:tcW w:w="0" w:type="auto"/>
            <w:hideMark/>
          </w:tcPr>
          <w:p w:rsidR="0038562D" w:rsidRDefault="0038562D" w:rsidP="00F52E66">
            <w:pPr>
              <w:rPr>
                <w:rFonts w:eastAsia="Times New Roman"/>
              </w:rPr>
            </w:pPr>
            <w:r>
              <w:rPr>
                <w:rFonts w:eastAsia="Times New Roman"/>
              </w:rPr>
              <w:t xml:space="preserve">0.5 (0.2, 1.1)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0.8 (0.3, 1.7) </w:t>
            </w:r>
          </w:p>
        </w:tc>
        <w:tc>
          <w:tcPr>
            <w:tcW w:w="0" w:type="auto"/>
            <w:hideMark/>
          </w:tcPr>
          <w:p w:rsidR="0038562D" w:rsidRDefault="0038562D" w:rsidP="00F52E66">
            <w:pPr>
              <w:rPr>
                <w:rFonts w:eastAsia="Times New Roman"/>
              </w:rPr>
            </w:pPr>
            <w:r>
              <w:rPr>
                <w:rFonts w:eastAsia="Times New Roman"/>
              </w:rPr>
              <w:t xml:space="preserve">0.2 (0, 0.8) </w:t>
            </w:r>
          </w:p>
        </w:tc>
        <w:tc>
          <w:tcPr>
            <w:tcW w:w="0" w:type="auto"/>
            <w:hideMark/>
          </w:tcPr>
          <w:p w:rsidR="0038562D" w:rsidRDefault="0038562D" w:rsidP="00F52E66">
            <w:pPr>
              <w:rPr>
                <w:rFonts w:eastAsia="Times New Roman"/>
              </w:rPr>
            </w:pPr>
            <w:r>
              <w:rPr>
                <w:rFonts w:eastAsia="Times New Roman"/>
              </w:rPr>
              <w:t xml:space="preserve">0.5 (0.2, 1.2)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0.7 (0.2, 1.6) </w:t>
            </w:r>
          </w:p>
        </w:tc>
        <w:tc>
          <w:tcPr>
            <w:tcW w:w="0" w:type="auto"/>
            <w:hideMark/>
          </w:tcPr>
          <w:p w:rsidR="0038562D" w:rsidRDefault="0038562D" w:rsidP="00F52E66">
            <w:pPr>
              <w:rPr>
                <w:rFonts w:eastAsia="Times New Roman"/>
              </w:rPr>
            </w:pPr>
            <w:r>
              <w:rPr>
                <w:rFonts w:eastAsia="Times New Roman"/>
              </w:rPr>
              <w:t xml:space="preserve">0.3 (0.1, 1) </w:t>
            </w:r>
          </w:p>
        </w:tc>
        <w:tc>
          <w:tcPr>
            <w:tcW w:w="0" w:type="auto"/>
            <w:hideMark/>
          </w:tcPr>
          <w:p w:rsidR="0038562D" w:rsidRDefault="0038562D" w:rsidP="00F52E66">
            <w:pPr>
              <w:rPr>
                <w:rFonts w:eastAsia="Times New Roman"/>
              </w:rPr>
            </w:pPr>
            <w:r>
              <w:rPr>
                <w:rFonts w:eastAsia="Times New Roman"/>
              </w:rPr>
              <w:t xml:space="preserve">0.5 (0.2, 1.2) </w:t>
            </w:r>
          </w:p>
        </w:tc>
      </w:tr>
      <w:tr w:rsidR="0038562D" w:rsidTr="00A03543">
        <w:tc>
          <w:tcPr>
            <w:tcW w:w="0" w:type="auto"/>
            <w:hideMark/>
          </w:tcPr>
          <w:p w:rsidR="0038562D" w:rsidRDefault="0038562D" w:rsidP="00F52E66">
            <w:pPr>
              <w:rPr>
                <w:rFonts w:eastAsia="Times New Roman"/>
              </w:rPr>
            </w:pPr>
            <w:r>
              <w:rPr>
                <w:rFonts w:eastAsia="Times New Roman"/>
              </w:rPr>
              <w:t xml:space="preserve">Middle Atlantic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0.8 (0.3, 1.8) </w:t>
            </w:r>
          </w:p>
        </w:tc>
        <w:tc>
          <w:tcPr>
            <w:tcW w:w="0" w:type="auto"/>
            <w:hideMark/>
          </w:tcPr>
          <w:p w:rsidR="0038562D" w:rsidRDefault="0038562D" w:rsidP="00F52E66">
            <w:pPr>
              <w:rPr>
                <w:rFonts w:eastAsia="Times New Roman"/>
              </w:rPr>
            </w:pPr>
            <w:r>
              <w:rPr>
                <w:rFonts w:eastAsia="Times New Roman"/>
              </w:rPr>
              <w:t xml:space="preserve">0.2 (0, 0.5) </w:t>
            </w:r>
          </w:p>
        </w:tc>
        <w:tc>
          <w:tcPr>
            <w:tcW w:w="0" w:type="auto"/>
            <w:hideMark/>
          </w:tcPr>
          <w:p w:rsidR="0038562D" w:rsidRDefault="0038562D" w:rsidP="00F52E66">
            <w:pPr>
              <w:rPr>
                <w:rFonts w:eastAsia="Times New Roman"/>
              </w:rPr>
            </w:pPr>
            <w:r>
              <w:rPr>
                <w:rFonts w:eastAsia="Times New Roman"/>
              </w:rPr>
              <w:t xml:space="preserve">0.1 (0.1, 0.3)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0.5 (0.2, 1.2) </w:t>
            </w:r>
          </w:p>
        </w:tc>
        <w:tc>
          <w:tcPr>
            <w:tcW w:w="0" w:type="auto"/>
            <w:hideMark/>
          </w:tcPr>
          <w:p w:rsidR="0038562D" w:rsidRDefault="0038562D" w:rsidP="00F52E66">
            <w:pPr>
              <w:rPr>
                <w:rFonts w:eastAsia="Times New Roman"/>
              </w:rPr>
            </w:pPr>
            <w:r>
              <w:rPr>
                <w:rFonts w:eastAsia="Times New Roman"/>
              </w:rPr>
              <w:t xml:space="preserve">0.1 (0, 0.4) </w:t>
            </w:r>
          </w:p>
        </w:tc>
        <w:tc>
          <w:tcPr>
            <w:tcW w:w="0" w:type="auto"/>
            <w:hideMark/>
          </w:tcPr>
          <w:p w:rsidR="0038562D" w:rsidRDefault="0038562D" w:rsidP="00F52E66">
            <w:pPr>
              <w:rPr>
                <w:rFonts w:eastAsia="Times New Roman"/>
              </w:rPr>
            </w:pPr>
            <w:r>
              <w:rPr>
                <w:rFonts w:eastAsia="Times New Roman"/>
              </w:rPr>
              <w:t xml:space="preserve">0.1 (0.1, 0.3)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0.9 (0.3, 2) </w:t>
            </w:r>
          </w:p>
        </w:tc>
        <w:tc>
          <w:tcPr>
            <w:tcW w:w="0" w:type="auto"/>
            <w:hideMark/>
          </w:tcPr>
          <w:p w:rsidR="0038562D" w:rsidRDefault="0038562D" w:rsidP="00F52E66">
            <w:pPr>
              <w:rPr>
                <w:rFonts w:eastAsia="Times New Roman"/>
              </w:rPr>
            </w:pPr>
            <w:r>
              <w:rPr>
                <w:rFonts w:eastAsia="Times New Roman"/>
              </w:rPr>
              <w:t xml:space="preserve">0.2 (0, 0.6) </w:t>
            </w:r>
          </w:p>
        </w:tc>
        <w:tc>
          <w:tcPr>
            <w:tcW w:w="0" w:type="auto"/>
            <w:hideMark/>
          </w:tcPr>
          <w:p w:rsidR="0038562D" w:rsidRDefault="0038562D" w:rsidP="00F52E66">
            <w:pPr>
              <w:rPr>
                <w:rFonts w:eastAsia="Times New Roman"/>
              </w:rPr>
            </w:pPr>
            <w:r>
              <w:rPr>
                <w:rFonts w:eastAsia="Times New Roman"/>
              </w:rPr>
              <w:t xml:space="preserve">0.2 (0.1, 0.4)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0.6 (0.2, 1.3) </w:t>
            </w:r>
          </w:p>
        </w:tc>
        <w:tc>
          <w:tcPr>
            <w:tcW w:w="0" w:type="auto"/>
            <w:hideMark/>
          </w:tcPr>
          <w:p w:rsidR="0038562D" w:rsidRDefault="0038562D" w:rsidP="00F52E66">
            <w:pPr>
              <w:rPr>
                <w:rFonts w:eastAsia="Times New Roman"/>
              </w:rPr>
            </w:pPr>
            <w:r>
              <w:rPr>
                <w:rFonts w:eastAsia="Times New Roman"/>
              </w:rPr>
              <w:t xml:space="preserve">0.2 (0, 0.5)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0.6 (0.2, 1.5) </w:t>
            </w:r>
          </w:p>
        </w:tc>
        <w:tc>
          <w:tcPr>
            <w:tcW w:w="0" w:type="auto"/>
            <w:hideMark/>
          </w:tcPr>
          <w:p w:rsidR="0038562D" w:rsidRDefault="0038562D" w:rsidP="00F52E66">
            <w:pPr>
              <w:rPr>
                <w:rFonts w:eastAsia="Times New Roman"/>
              </w:rPr>
            </w:pPr>
            <w:r>
              <w:rPr>
                <w:rFonts w:eastAsia="Times New Roman"/>
              </w:rPr>
              <w:t xml:space="preserve">0.2 (0, 0.5)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0.6 (0.2, 1.4) </w:t>
            </w:r>
          </w:p>
        </w:tc>
        <w:tc>
          <w:tcPr>
            <w:tcW w:w="0" w:type="auto"/>
            <w:hideMark/>
          </w:tcPr>
          <w:p w:rsidR="0038562D" w:rsidRDefault="0038562D" w:rsidP="00F52E66">
            <w:pPr>
              <w:rPr>
                <w:rFonts w:eastAsia="Times New Roman"/>
              </w:rPr>
            </w:pPr>
            <w:r>
              <w:rPr>
                <w:rFonts w:eastAsia="Times New Roman"/>
              </w:rPr>
              <w:t xml:space="preserve">0.2 (0, 0.6)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Mountain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1.1 (0.4, 2.6) </w:t>
            </w:r>
          </w:p>
        </w:tc>
        <w:tc>
          <w:tcPr>
            <w:tcW w:w="0" w:type="auto"/>
            <w:hideMark/>
          </w:tcPr>
          <w:p w:rsidR="0038562D" w:rsidRDefault="0038562D" w:rsidP="00F52E66">
            <w:pPr>
              <w:rPr>
                <w:rFonts w:eastAsia="Times New Roman"/>
              </w:rPr>
            </w:pPr>
            <w:r>
              <w:rPr>
                <w:rFonts w:eastAsia="Times New Roman"/>
              </w:rPr>
              <w:t xml:space="preserve">0.6 (0.1, 1.7) </w:t>
            </w:r>
          </w:p>
        </w:tc>
        <w:tc>
          <w:tcPr>
            <w:tcW w:w="0" w:type="auto"/>
            <w:hideMark/>
          </w:tcPr>
          <w:p w:rsidR="0038562D" w:rsidRDefault="0038562D" w:rsidP="00F52E66">
            <w:pPr>
              <w:rPr>
                <w:rFonts w:eastAsia="Times New Roman"/>
              </w:rPr>
            </w:pPr>
            <w:r>
              <w:rPr>
                <w:rFonts w:eastAsia="Times New Roman"/>
              </w:rPr>
              <w:t xml:space="preserve">0.4 (0.2, 1)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0.7 (0.2, 1.7) </w:t>
            </w:r>
          </w:p>
        </w:tc>
        <w:tc>
          <w:tcPr>
            <w:tcW w:w="0" w:type="auto"/>
            <w:hideMark/>
          </w:tcPr>
          <w:p w:rsidR="0038562D" w:rsidRDefault="0038562D" w:rsidP="00F52E66">
            <w:pPr>
              <w:rPr>
                <w:rFonts w:eastAsia="Times New Roman"/>
              </w:rPr>
            </w:pPr>
            <w:r>
              <w:rPr>
                <w:rFonts w:eastAsia="Times New Roman"/>
              </w:rPr>
              <w:t xml:space="preserve">0.5 (0.1, 1.5) </w:t>
            </w:r>
          </w:p>
        </w:tc>
        <w:tc>
          <w:tcPr>
            <w:tcW w:w="0" w:type="auto"/>
            <w:hideMark/>
          </w:tcPr>
          <w:p w:rsidR="0038562D" w:rsidRDefault="0038562D" w:rsidP="00F52E66">
            <w:pPr>
              <w:rPr>
                <w:rFonts w:eastAsia="Times New Roman"/>
              </w:rPr>
            </w:pPr>
            <w:r>
              <w:rPr>
                <w:rFonts w:eastAsia="Times New Roman"/>
              </w:rPr>
              <w:t xml:space="preserve">0.4 (0.1, 1)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1.2 (0.4, 2.8) </w:t>
            </w:r>
          </w:p>
        </w:tc>
        <w:tc>
          <w:tcPr>
            <w:tcW w:w="0" w:type="auto"/>
            <w:hideMark/>
          </w:tcPr>
          <w:p w:rsidR="0038562D" w:rsidRDefault="0038562D" w:rsidP="00F52E66">
            <w:pPr>
              <w:rPr>
                <w:rFonts w:eastAsia="Times New Roman"/>
              </w:rPr>
            </w:pPr>
            <w:r>
              <w:rPr>
                <w:rFonts w:eastAsia="Times New Roman"/>
              </w:rPr>
              <w:t xml:space="preserve">0.8 (0.2, 2.2) </w:t>
            </w:r>
          </w:p>
        </w:tc>
        <w:tc>
          <w:tcPr>
            <w:tcW w:w="0" w:type="auto"/>
            <w:hideMark/>
          </w:tcPr>
          <w:p w:rsidR="0038562D" w:rsidRDefault="0038562D" w:rsidP="00F52E66">
            <w:pPr>
              <w:rPr>
                <w:rFonts w:eastAsia="Times New Roman"/>
              </w:rPr>
            </w:pPr>
            <w:r>
              <w:rPr>
                <w:rFonts w:eastAsia="Times New Roman"/>
              </w:rPr>
              <w:t xml:space="preserve">0.6 (0.2, 1.3)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0.8 (0.3, 1.9) </w:t>
            </w:r>
          </w:p>
        </w:tc>
        <w:tc>
          <w:tcPr>
            <w:tcW w:w="0" w:type="auto"/>
            <w:hideMark/>
          </w:tcPr>
          <w:p w:rsidR="0038562D" w:rsidRDefault="0038562D" w:rsidP="00F52E66">
            <w:pPr>
              <w:rPr>
                <w:rFonts w:eastAsia="Times New Roman"/>
              </w:rPr>
            </w:pPr>
            <w:r>
              <w:rPr>
                <w:rFonts w:eastAsia="Times New Roman"/>
              </w:rPr>
              <w:t xml:space="preserve">0.6 (0.1, 1.8) </w:t>
            </w:r>
          </w:p>
        </w:tc>
        <w:tc>
          <w:tcPr>
            <w:tcW w:w="0" w:type="auto"/>
            <w:hideMark/>
          </w:tcPr>
          <w:p w:rsidR="0038562D" w:rsidRDefault="0038562D" w:rsidP="00F52E66">
            <w:pPr>
              <w:rPr>
                <w:rFonts w:eastAsia="Times New Roman"/>
              </w:rPr>
            </w:pPr>
            <w:r>
              <w:rPr>
                <w:rFonts w:eastAsia="Times New Roman"/>
              </w:rPr>
              <w:t xml:space="preserve">0.6 (0.2, 1.3)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0.9 (0.3, 2.1) </w:t>
            </w:r>
          </w:p>
        </w:tc>
        <w:tc>
          <w:tcPr>
            <w:tcW w:w="0" w:type="auto"/>
            <w:hideMark/>
          </w:tcPr>
          <w:p w:rsidR="0038562D" w:rsidRDefault="0038562D" w:rsidP="00F52E66">
            <w:pPr>
              <w:rPr>
                <w:rFonts w:eastAsia="Times New Roman"/>
              </w:rPr>
            </w:pPr>
            <w:r>
              <w:rPr>
                <w:rFonts w:eastAsia="Times New Roman"/>
              </w:rPr>
              <w:t xml:space="preserve">0.6 (0.1, 1.8) </w:t>
            </w:r>
          </w:p>
        </w:tc>
        <w:tc>
          <w:tcPr>
            <w:tcW w:w="0" w:type="auto"/>
            <w:hideMark/>
          </w:tcPr>
          <w:p w:rsidR="0038562D" w:rsidRDefault="0038562D" w:rsidP="00F52E66">
            <w:pPr>
              <w:rPr>
                <w:rFonts w:eastAsia="Times New Roman"/>
              </w:rPr>
            </w:pPr>
            <w:r>
              <w:rPr>
                <w:rFonts w:eastAsia="Times New Roman"/>
              </w:rPr>
              <w:t xml:space="preserve">0.6 (0.2, 1.4)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0.8 (0.3, 2) </w:t>
            </w:r>
          </w:p>
        </w:tc>
        <w:tc>
          <w:tcPr>
            <w:tcW w:w="0" w:type="auto"/>
            <w:hideMark/>
          </w:tcPr>
          <w:p w:rsidR="0038562D" w:rsidRDefault="0038562D" w:rsidP="00F52E66">
            <w:pPr>
              <w:rPr>
                <w:rFonts w:eastAsia="Times New Roman"/>
              </w:rPr>
            </w:pPr>
            <w:r>
              <w:rPr>
                <w:rFonts w:eastAsia="Times New Roman"/>
              </w:rPr>
              <w:t xml:space="preserve">0.7 (0.1, 2.2) </w:t>
            </w:r>
          </w:p>
        </w:tc>
        <w:tc>
          <w:tcPr>
            <w:tcW w:w="0" w:type="auto"/>
            <w:hideMark/>
          </w:tcPr>
          <w:p w:rsidR="0038562D" w:rsidRDefault="0038562D" w:rsidP="00F52E66">
            <w:pPr>
              <w:rPr>
                <w:rFonts w:eastAsia="Times New Roman"/>
              </w:rPr>
            </w:pPr>
            <w:r>
              <w:rPr>
                <w:rFonts w:eastAsia="Times New Roman"/>
              </w:rPr>
              <w:t xml:space="preserve">0.6 (0.2, 1.4) </w:t>
            </w:r>
          </w:p>
        </w:tc>
      </w:tr>
      <w:tr w:rsidR="0038562D" w:rsidTr="00A03543">
        <w:tc>
          <w:tcPr>
            <w:tcW w:w="0" w:type="auto"/>
            <w:hideMark/>
          </w:tcPr>
          <w:p w:rsidR="0038562D" w:rsidRDefault="0038562D" w:rsidP="00F52E66">
            <w:pPr>
              <w:rPr>
                <w:rFonts w:eastAsia="Times New Roman"/>
              </w:rPr>
            </w:pPr>
            <w:r>
              <w:rPr>
                <w:rFonts w:eastAsia="Times New Roman"/>
              </w:rPr>
              <w:t xml:space="preserve">New England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0.9 (0.3, 2) </w:t>
            </w:r>
          </w:p>
        </w:tc>
        <w:tc>
          <w:tcPr>
            <w:tcW w:w="0" w:type="auto"/>
            <w:hideMark/>
          </w:tcPr>
          <w:p w:rsidR="0038562D" w:rsidRDefault="0038562D" w:rsidP="00F52E66">
            <w:pPr>
              <w:rPr>
                <w:rFonts w:eastAsia="Times New Roman"/>
              </w:rPr>
            </w:pPr>
            <w:r>
              <w:rPr>
                <w:rFonts w:eastAsia="Times New Roman"/>
              </w:rPr>
              <w:t xml:space="preserve">0.3 (0.1, 1.1) </w:t>
            </w:r>
          </w:p>
        </w:tc>
        <w:tc>
          <w:tcPr>
            <w:tcW w:w="0" w:type="auto"/>
            <w:hideMark/>
          </w:tcPr>
          <w:p w:rsidR="0038562D" w:rsidRDefault="0038562D" w:rsidP="00F52E66">
            <w:pPr>
              <w:rPr>
                <w:rFonts w:eastAsia="Times New Roman"/>
              </w:rPr>
            </w:pPr>
            <w:r>
              <w:rPr>
                <w:rFonts w:eastAsia="Times New Roman"/>
              </w:rPr>
              <w:t xml:space="preserve">0.2 (0.1, 0.4)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0.6 (0.2, 1.4) </w:t>
            </w:r>
          </w:p>
        </w:tc>
        <w:tc>
          <w:tcPr>
            <w:tcW w:w="0" w:type="auto"/>
            <w:hideMark/>
          </w:tcPr>
          <w:p w:rsidR="0038562D" w:rsidRDefault="0038562D" w:rsidP="00F52E66">
            <w:pPr>
              <w:rPr>
                <w:rFonts w:eastAsia="Times New Roman"/>
              </w:rPr>
            </w:pPr>
            <w:r>
              <w:rPr>
                <w:rFonts w:eastAsia="Times New Roman"/>
              </w:rPr>
              <w:t xml:space="preserve">0.3 (0.1, 0.9) </w:t>
            </w:r>
          </w:p>
        </w:tc>
        <w:tc>
          <w:tcPr>
            <w:tcW w:w="0" w:type="auto"/>
            <w:hideMark/>
          </w:tcPr>
          <w:p w:rsidR="0038562D" w:rsidRDefault="0038562D" w:rsidP="00F52E66">
            <w:pPr>
              <w:rPr>
                <w:rFonts w:eastAsia="Times New Roman"/>
              </w:rPr>
            </w:pPr>
            <w:r>
              <w:rPr>
                <w:rFonts w:eastAsia="Times New Roman"/>
              </w:rPr>
              <w:t xml:space="preserve">0.2 (0.1, 0.4)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 (0.3, 2.3) </w:t>
            </w:r>
          </w:p>
        </w:tc>
        <w:tc>
          <w:tcPr>
            <w:tcW w:w="0" w:type="auto"/>
            <w:hideMark/>
          </w:tcPr>
          <w:p w:rsidR="0038562D" w:rsidRDefault="0038562D" w:rsidP="00F52E66">
            <w:pPr>
              <w:rPr>
                <w:rFonts w:eastAsia="Times New Roman"/>
              </w:rPr>
            </w:pPr>
            <w:r>
              <w:rPr>
                <w:rFonts w:eastAsia="Times New Roman"/>
              </w:rPr>
              <w:t xml:space="preserve">0.4 (0.1, 1.3)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0.6 (0.2, 1.5) </w:t>
            </w:r>
          </w:p>
        </w:tc>
        <w:tc>
          <w:tcPr>
            <w:tcW w:w="0" w:type="auto"/>
            <w:hideMark/>
          </w:tcPr>
          <w:p w:rsidR="0038562D" w:rsidRDefault="0038562D" w:rsidP="00F52E66">
            <w:pPr>
              <w:rPr>
                <w:rFonts w:eastAsia="Times New Roman"/>
              </w:rPr>
            </w:pPr>
            <w:r>
              <w:rPr>
                <w:rFonts w:eastAsia="Times New Roman"/>
              </w:rPr>
              <w:t xml:space="preserve">0.3 (0.1, 1.1) </w:t>
            </w:r>
          </w:p>
        </w:tc>
        <w:tc>
          <w:tcPr>
            <w:tcW w:w="0" w:type="auto"/>
            <w:hideMark/>
          </w:tcPr>
          <w:p w:rsidR="0038562D" w:rsidRDefault="0038562D" w:rsidP="00F52E66">
            <w:pPr>
              <w:rPr>
                <w:rFonts w:eastAsia="Times New Roman"/>
              </w:rPr>
            </w:pPr>
            <w:r>
              <w:rPr>
                <w:rFonts w:eastAsia="Times New Roman"/>
              </w:rPr>
              <w:t xml:space="preserve">0.2 (0.1, 0.5)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0.7 (0.2, 1.6) </w:t>
            </w:r>
          </w:p>
        </w:tc>
        <w:tc>
          <w:tcPr>
            <w:tcW w:w="0" w:type="auto"/>
            <w:hideMark/>
          </w:tcPr>
          <w:p w:rsidR="0038562D" w:rsidRDefault="0038562D" w:rsidP="00F52E66">
            <w:pPr>
              <w:rPr>
                <w:rFonts w:eastAsia="Times New Roman"/>
              </w:rPr>
            </w:pPr>
            <w:r>
              <w:rPr>
                <w:rFonts w:eastAsia="Times New Roman"/>
              </w:rPr>
              <w:t xml:space="preserve">0.3 (0.1, 1.1) </w:t>
            </w:r>
          </w:p>
        </w:tc>
        <w:tc>
          <w:tcPr>
            <w:tcW w:w="0" w:type="auto"/>
            <w:hideMark/>
          </w:tcPr>
          <w:p w:rsidR="0038562D" w:rsidRDefault="0038562D" w:rsidP="00F52E66">
            <w:pPr>
              <w:rPr>
                <w:rFonts w:eastAsia="Times New Roman"/>
              </w:rPr>
            </w:pPr>
            <w:r>
              <w:rPr>
                <w:rFonts w:eastAsia="Times New Roman"/>
              </w:rPr>
              <w:t xml:space="preserve">0.2 (0.1, 0.6)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0.6 (0.2, 1.5) </w:t>
            </w:r>
          </w:p>
        </w:tc>
        <w:tc>
          <w:tcPr>
            <w:tcW w:w="0" w:type="auto"/>
            <w:hideMark/>
          </w:tcPr>
          <w:p w:rsidR="0038562D" w:rsidRDefault="0038562D" w:rsidP="00F52E66">
            <w:pPr>
              <w:rPr>
                <w:rFonts w:eastAsia="Times New Roman"/>
              </w:rPr>
            </w:pPr>
            <w:r>
              <w:rPr>
                <w:rFonts w:eastAsia="Times New Roman"/>
              </w:rPr>
              <w:t xml:space="preserve">0.4 (0.1, 1.4) </w:t>
            </w:r>
          </w:p>
        </w:tc>
        <w:tc>
          <w:tcPr>
            <w:tcW w:w="0" w:type="auto"/>
            <w:hideMark/>
          </w:tcPr>
          <w:p w:rsidR="0038562D" w:rsidRDefault="0038562D" w:rsidP="00F52E66">
            <w:pPr>
              <w:rPr>
                <w:rFonts w:eastAsia="Times New Roman"/>
              </w:rPr>
            </w:pPr>
            <w:r>
              <w:rPr>
                <w:rFonts w:eastAsia="Times New Roman"/>
              </w:rPr>
              <w:t xml:space="preserve">0.2 (0.1, 0.6) </w:t>
            </w:r>
          </w:p>
        </w:tc>
      </w:tr>
      <w:tr w:rsidR="0038562D" w:rsidTr="00A03543">
        <w:tc>
          <w:tcPr>
            <w:tcW w:w="0" w:type="auto"/>
            <w:hideMark/>
          </w:tcPr>
          <w:p w:rsidR="0038562D" w:rsidRDefault="0038562D" w:rsidP="00F52E66">
            <w:pPr>
              <w:rPr>
                <w:rFonts w:eastAsia="Times New Roman"/>
              </w:rPr>
            </w:pPr>
            <w:r>
              <w:rPr>
                <w:rFonts w:eastAsia="Times New Roman"/>
              </w:rPr>
              <w:t xml:space="preserve">Pacific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1.5 (0.5, 3.2) </w:t>
            </w:r>
          </w:p>
        </w:tc>
        <w:tc>
          <w:tcPr>
            <w:tcW w:w="0" w:type="auto"/>
            <w:hideMark/>
          </w:tcPr>
          <w:p w:rsidR="0038562D" w:rsidRDefault="0038562D" w:rsidP="00F52E66">
            <w:pPr>
              <w:rPr>
                <w:rFonts w:eastAsia="Times New Roman"/>
              </w:rPr>
            </w:pPr>
            <w:r>
              <w:rPr>
                <w:rFonts w:eastAsia="Times New Roman"/>
              </w:rPr>
              <w:t xml:space="preserve">0.4 (0.1, 1.3) </w:t>
            </w:r>
          </w:p>
        </w:tc>
        <w:tc>
          <w:tcPr>
            <w:tcW w:w="0" w:type="auto"/>
            <w:hideMark/>
          </w:tcPr>
          <w:p w:rsidR="0038562D" w:rsidRDefault="0038562D" w:rsidP="00F52E66">
            <w:pPr>
              <w:rPr>
                <w:rFonts w:eastAsia="Times New Roman"/>
              </w:rPr>
            </w:pPr>
            <w:r>
              <w:rPr>
                <w:rFonts w:eastAsia="Times New Roman"/>
              </w:rPr>
              <w:t xml:space="preserve">0.4 (0.1, 1)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1 (0.3, 2.1) </w:t>
            </w:r>
          </w:p>
        </w:tc>
        <w:tc>
          <w:tcPr>
            <w:tcW w:w="0" w:type="auto"/>
            <w:hideMark/>
          </w:tcPr>
          <w:p w:rsidR="0038562D" w:rsidRDefault="0038562D" w:rsidP="00F52E66">
            <w:pPr>
              <w:rPr>
                <w:rFonts w:eastAsia="Times New Roman"/>
              </w:rPr>
            </w:pPr>
            <w:r>
              <w:rPr>
                <w:rFonts w:eastAsia="Times New Roman"/>
              </w:rPr>
              <w:t xml:space="preserve">0.4 (0.1, 1) </w:t>
            </w:r>
          </w:p>
        </w:tc>
        <w:tc>
          <w:tcPr>
            <w:tcW w:w="0" w:type="auto"/>
            <w:hideMark/>
          </w:tcPr>
          <w:p w:rsidR="0038562D" w:rsidRDefault="0038562D" w:rsidP="00F52E66">
            <w:pPr>
              <w:rPr>
                <w:rFonts w:eastAsia="Times New Roman"/>
              </w:rPr>
            </w:pPr>
            <w:r>
              <w:rPr>
                <w:rFonts w:eastAsia="Times New Roman"/>
              </w:rPr>
              <w:t xml:space="preserve">0.4 (0.1, 1)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1.6 (0.5, 3.6) </w:t>
            </w:r>
          </w:p>
        </w:tc>
        <w:tc>
          <w:tcPr>
            <w:tcW w:w="0" w:type="auto"/>
            <w:hideMark/>
          </w:tcPr>
          <w:p w:rsidR="0038562D" w:rsidRDefault="0038562D" w:rsidP="00F52E66">
            <w:pPr>
              <w:rPr>
                <w:rFonts w:eastAsia="Times New Roman"/>
              </w:rPr>
            </w:pPr>
            <w:r>
              <w:rPr>
                <w:rFonts w:eastAsia="Times New Roman"/>
              </w:rPr>
              <w:t xml:space="preserve">0.5 (0.1, 1.6) </w:t>
            </w:r>
          </w:p>
        </w:tc>
        <w:tc>
          <w:tcPr>
            <w:tcW w:w="0" w:type="auto"/>
            <w:hideMark/>
          </w:tcPr>
          <w:p w:rsidR="0038562D" w:rsidRDefault="0038562D" w:rsidP="00F52E66">
            <w:pPr>
              <w:rPr>
                <w:rFonts w:eastAsia="Times New Roman"/>
              </w:rPr>
            </w:pPr>
            <w:r>
              <w:rPr>
                <w:rFonts w:eastAsia="Times New Roman"/>
              </w:rPr>
              <w:t xml:space="preserve">0.6 (0.2, 1.3)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1 (0.4, 2.4) </w:t>
            </w:r>
          </w:p>
        </w:tc>
        <w:tc>
          <w:tcPr>
            <w:tcW w:w="0" w:type="auto"/>
            <w:hideMark/>
          </w:tcPr>
          <w:p w:rsidR="0038562D" w:rsidRDefault="0038562D" w:rsidP="00F52E66">
            <w:pPr>
              <w:rPr>
                <w:rFonts w:eastAsia="Times New Roman"/>
              </w:rPr>
            </w:pPr>
            <w:r>
              <w:rPr>
                <w:rFonts w:eastAsia="Times New Roman"/>
              </w:rPr>
              <w:t xml:space="preserve">0.4 (0.1, 1.2) </w:t>
            </w:r>
          </w:p>
        </w:tc>
        <w:tc>
          <w:tcPr>
            <w:tcW w:w="0" w:type="auto"/>
            <w:hideMark/>
          </w:tcPr>
          <w:p w:rsidR="0038562D" w:rsidRDefault="0038562D" w:rsidP="00F52E66">
            <w:pPr>
              <w:rPr>
                <w:rFonts w:eastAsia="Times New Roman"/>
              </w:rPr>
            </w:pPr>
            <w:r>
              <w:rPr>
                <w:rFonts w:eastAsia="Times New Roman"/>
              </w:rPr>
              <w:t xml:space="preserve">0.6 (0.2, 1.3)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1.2 (0.4, 2.7) </w:t>
            </w:r>
          </w:p>
        </w:tc>
        <w:tc>
          <w:tcPr>
            <w:tcW w:w="0" w:type="auto"/>
            <w:hideMark/>
          </w:tcPr>
          <w:p w:rsidR="0038562D" w:rsidRDefault="0038562D" w:rsidP="00F52E66">
            <w:pPr>
              <w:rPr>
                <w:rFonts w:eastAsia="Times New Roman"/>
              </w:rPr>
            </w:pPr>
            <w:r>
              <w:rPr>
                <w:rFonts w:eastAsia="Times New Roman"/>
              </w:rPr>
              <w:t xml:space="preserve">0.4 (0.1, 1.3) </w:t>
            </w:r>
          </w:p>
        </w:tc>
        <w:tc>
          <w:tcPr>
            <w:tcW w:w="0" w:type="auto"/>
            <w:hideMark/>
          </w:tcPr>
          <w:p w:rsidR="0038562D" w:rsidRDefault="0038562D" w:rsidP="00F52E66">
            <w:pPr>
              <w:rPr>
                <w:rFonts w:eastAsia="Times New Roman"/>
              </w:rPr>
            </w:pPr>
            <w:r>
              <w:rPr>
                <w:rFonts w:eastAsia="Times New Roman"/>
              </w:rPr>
              <w:t xml:space="preserve">0.6 (0.2, 1.4)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1.1 (0.4, 2.5) </w:t>
            </w:r>
          </w:p>
        </w:tc>
        <w:tc>
          <w:tcPr>
            <w:tcW w:w="0" w:type="auto"/>
            <w:hideMark/>
          </w:tcPr>
          <w:p w:rsidR="0038562D" w:rsidRDefault="0038562D" w:rsidP="00F52E66">
            <w:pPr>
              <w:rPr>
                <w:rFonts w:eastAsia="Times New Roman"/>
              </w:rPr>
            </w:pPr>
            <w:r>
              <w:rPr>
                <w:rFonts w:eastAsia="Times New Roman"/>
              </w:rPr>
              <w:t xml:space="preserve">0.5 (0.1, 1.6) </w:t>
            </w:r>
          </w:p>
        </w:tc>
        <w:tc>
          <w:tcPr>
            <w:tcW w:w="0" w:type="auto"/>
            <w:hideMark/>
          </w:tcPr>
          <w:p w:rsidR="0038562D" w:rsidRDefault="0038562D" w:rsidP="00F52E66">
            <w:pPr>
              <w:rPr>
                <w:rFonts w:eastAsia="Times New Roman"/>
              </w:rPr>
            </w:pPr>
            <w:r>
              <w:rPr>
                <w:rFonts w:eastAsia="Times New Roman"/>
              </w:rPr>
              <w:t xml:space="preserve">0.6 (0.2, 1.4) </w:t>
            </w:r>
          </w:p>
        </w:tc>
      </w:tr>
      <w:tr w:rsidR="0038562D" w:rsidTr="00A03543">
        <w:tc>
          <w:tcPr>
            <w:tcW w:w="0" w:type="auto"/>
            <w:hideMark/>
          </w:tcPr>
          <w:p w:rsidR="0038562D" w:rsidRDefault="0038562D" w:rsidP="00F52E66">
            <w:pPr>
              <w:rPr>
                <w:rFonts w:eastAsia="Times New Roman"/>
              </w:rPr>
            </w:pPr>
            <w:r>
              <w:rPr>
                <w:rFonts w:eastAsia="Times New Roman"/>
              </w:rPr>
              <w:t xml:space="preserve">South Atlantic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lastRenderedPageBreak/>
              <w:t xml:space="preserve">- Large Central Metro </w:t>
            </w:r>
          </w:p>
        </w:tc>
        <w:tc>
          <w:tcPr>
            <w:tcW w:w="0" w:type="auto"/>
            <w:hideMark/>
          </w:tcPr>
          <w:p w:rsidR="0038562D" w:rsidRDefault="0038562D" w:rsidP="00F52E66">
            <w:pPr>
              <w:rPr>
                <w:rFonts w:eastAsia="Times New Roman"/>
              </w:rPr>
            </w:pPr>
            <w:r>
              <w:rPr>
                <w:rFonts w:eastAsia="Times New Roman"/>
              </w:rPr>
              <w:t xml:space="preserve">0.9 (0.3, 2) </w:t>
            </w:r>
          </w:p>
        </w:tc>
        <w:tc>
          <w:tcPr>
            <w:tcW w:w="0" w:type="auto"/>
            <w:hideMark/>
          </w:tcPr>
          <w:p w:rsidR="0038562D" w:rsidRDefault="0038562D" w:rsidP="00F52E66">
            <w:pPr>
              <w:rPr>
                <w:rFonts w:eastAsia="Times New Roman"/>
              </w:rPr>
            </w:pPr>
            <w:r>
              <w:rPr>
                <w:rFonts w:eastAsia="Times New Roman"/>
              </w:rPr>
              <w:t xml:space="preserve">0.2 (0, 0.6) </w:t>
            </w:r>
          </w:p>
        </w:tc>
        <w:tc>
          <w:tcPr>
            <w:tcW w:w="0" w:type="auto"/>
            <w:hideMark/>
          </w:tcPr>
          <w:p w:rsidR="0038562D" w:rsidRDefault="0038562D" w:rsidP="00F52E66">
            <w:pPr>
              <w:rPr>
                <w:rFonts w:eastAsia="Times New Roman"/>
              </w:rPr>
            </w:pPr>
            <w:r>
              <w:rPr>
                <w:rFonts w:eastAsia="Times New Roman"/>
              </w:rPr>
              <w:t xml:space="preserve">0.3 (0.1, 0.7)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0.6 (0.2, 1.3) </w:t>
            </w:r>
          </w:p>
        </w:tc>
        <w:tc>
          <w:tcPr>
            <w:tcW w:w="0" w:type="auto"/>
            <w:hideMark/>
          </w:tcPr>
          <w:p w:rsidR="0038562D" w:rsidRDefault="0038562D" w:rsidP="00F52E66">
            <w:pPr>
              <w:rPr>
                <w:rFonts w:eastAsia="Times New Roman"/>
              </w:rPr>
            </w:pPr>
            <w:r>
              <w:rPr>
                <w:rFonts w:eastAsia="Times New Roman"/>
              </w:rPr>
              <w:t xml:space="preserve">0.2 (0, 0.5) </w:t>
            </w:r>
          </w:p>
        </w:tc>
        <w:tc>
          <w:tcPr>
            <w:tcW w:w="0" w:type="auto"/>
            <w:hideMark/>
          </w:tcPr>
          <w:p w:rsidR="0038562D" w:rsidRDefault="0038562D" w:rsidP="00F52E66">
            <w:pPr>
              <w:rPr>
                <w:rFonts w:eastAsia="Times New Roman"/>
              </w:rPr>
            </w:pPr>
            <w:r>
              <w:rPr>
                <w:rFonts w:eastAsia="Times New Roman"/>
              </w:rPr>
              <w:t xml:space="preserve">0.3 (0.1, 0.7)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 (0.3, 2.2) </w:t>
            </w:r>
          </w:p>
        </w:tc>
        <w:tc>
          <w:tcPr>
            <w:tcW w:w="0" w:type="auto"/>
            <w:hideMark/>
          </w:tcPr>
          <w:p w:rsidR="0038562D" w:rsidRDefault="0038562D" w:rsidP="00F52E66">
            <w:pPr>
              <w:rPr>
                <w:rFonts w:eastAsia="Times New Roman"/>
              </w:rPr>
            </w:pPr>
            <w:r>
              <w:rPr>
                <w:rFonts w:eastAsia="Times New Roman"/>
              </w:rPr>
              <w:t xml:space="preserve">0.2 (0.1, 0.8) </w:t>
            </w:r>
          </w:p>
        </w:tc>
        <w:tc>
          <w:tcPr>
            <w:tcW w:w="0" w:type="auto"/>
            <w:hideMark/>
          </w:tcPr>
          <w:p w:rsidR="0038562D" w:rsidRDefault="0038562D" w:rsidP="00F52E66">
            <w:pPr>
              <w:rPr>
                <w:rFonts w:eastAsia="Times New Roman"/>
              </w:rPr>
            </w:pPr>
            <w:r>
              <w:rPr>
                <w:rFonts w:eastAsia="Times New Roman"/>
              </w:rPr>
              <w:t xml:space="preserve">0.4 (0.1, 0.9)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0.7 (0.2, 1.5) </w:t>
            </w:r>
          </w:p>
        </w:tc>
        <w:tc>
          <w:tcPr>
            <w:tcW w:w="0" w:type="auto"/>
            <w:hideMark/>
          </w:tcPr>
          <w:p w:rsidR="0038562D" w:rsidRDefault="0038562D" w:rsidP="00F52E66">
            <w:pPr>
              <w:rPr>
                <w:rFonts w:eastAsia="Times New Roman"/>
              </w:rPr>
            </w:pPr>
            <w:r>
              <w:rPr>
                <w:rFonts w:eastAsia="Times New Roman"/>
              </w:rPr>
              <w:t xml:space="preserve">0.2 (0, 0.6) </w:t>
            </w:r>
          </w:p>
        </w:tc>
        <w:tc>
          <w:tcPr>
            <w:tcW w:w="0" w:type="auto"/>
            <w:hideMark/>
          </w:tcPr>
          <w:p w:rsidR="0038562D" w:rsidRDefault="0038562D" w:rsidP="00F52E66">
            <w:pPr>
              <w:rPr>
                <w:rFonts w:eastAsia="Times New Roman"/>
              </w:rPr>
            </w:pPr>
            <w:r>
              <w:rPr>
                <w:rFonts w:eastAsia="Times New Roman"/>
              </w:rPr>
              <w:t xml:space="preserve">0.4 (0.1, 0.9)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0.7 (0.2, 1.6) </w:t>
            </w:r>
          </w:p>
        </w:tc>
        <w:tc>
          <w:tcPr>
            <w:tcW w:w="0" w:type="auto"/>
            <w:hideMark/>
          </w:tcPr>
          <w:p w:rsidR="0038562D" w:rsidRDefault="0038562D" w:rsidP="00F52E66">
            <w:pPr>
              <w:rPr>
                <w:rFonts w:eastAsia="Times New Roman"/>
              </w:rPr>
            </w:pPr>
            <w:r>
              <w:rPr>
                <w:rFonts w:eastAsia="Times New Roman"/>
              </w:rPr>
              <w:t xml:space="preserve">0.2 (0, 0.6) </w:t>
            </w:r>
          </w:p>
        </w:tc>
        <w:tc>
          <w:tcPr>
            <w:tcW w:w="0" w:type="auto"/>
            <w:hideMark/>
          </w:tcPr>
          <w:p w:rsidR="0038562D" w:rsidRDefault="0038562D" w:rsidP="00F52E66">
            <w:pPr>
              <w:rPr>
                <w:rFonts w:eastAsia="Times New Roman"/>
              </w:rPr>
            </w:pPr>
            <w:r>
              <w:rPr>
                <w:rFonts w:eastAsia="Times New Roman"/>
              </w:rPr>
              <w:t xml:space="preserve">0.4 (0.2, 1)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0.7 (0.2, 1.5) </w:t>
            </w:r>
          </w:p>
        </w:tc>
        <w:tc>
          <w:tcPr>
            <w:tcW w:w="0" w:type="auto"/>
            <w:hideMark/>
          </w:tcPr>
          <w:p w:rsidR="0038562D" w:rsidRDefault="0038562D" w:rsidP="00F52E66">
            <w:pPr>
              <w:rPr>
                <w:rFonts w:eastAsia="Times New Roman"/>
              </w:rPr>
            </w:pPr>
            <w:r>
              <w:rPr>
                <w:rFonts w:eastAsia="Times New Roman"/>
              </w:rPr>
              <w:t xml:space="preserve">0.3 (0, 0.7) </w:t>
            </w:r>
          </w:p>
        </w:tc>
        <w:tc>
          <w:tcPr>
            <w:tcW w:w="0" w:type="auto"/>
            <w:hideMark/>
          </w:tcPr>
          <w:p w:rsidR="0038562D" w:rsidRDefault="0038562D" w:rsidP="00F52E66">
            <w:pPr>
              <w:rPr>
                <w:rFonts w:eastAsia="Times New Roman"/>
              </w:rPr>
            </w:pPr>
            <w:r>
              <w:rPr>
                <w:rFonts w:eastAsia="Times New Roman"/>
              </w:rPr>
              <w:t xml:space="preserve">0.4 (0.2, 1) </w:t>
            </w:r>
          </w:p>
        </w:tc>
      </w:tr>
      <w:tr w:rsidR="0038562D" w:rsidTr="00A03543">
        <w:tc>
          <w:tcPr>
            <w:tcW w:w="0" w:type="auto"/>
            <w:hideMark/>
          </w:tcPr>
          <w:p w:rsidR="0038562D" w:rsidRDefault="0038562D" w:rsidP="00F52E66">
            <w:pPr>
              <w:rPr>
                <w:rFonts w:eastAsia="Times New Roman"/>
              </w:rPr>
            </w:pPr>
            <w:r>
              <w:rPr>
                <w:rFonts w:eastAsia="Times New Roman"/>
              </w:rPr>
              <w:t xml:space="preserve">West North Central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1.4 (0.5, 3.3) </w:t>
            </w:r>
          </w:p>
        </w:tc>
        <w:tc>
          <w:tcPr>
            <w:tcW w:w="0" w:type="auto"/>
            <w:hideMark/>
          </w:tcPr>
          <w:p w:rsidR="0038562D" w:rsidRDefault="0038562D" w:rsidP="00F52E66">
            <w:pPr>
              <w:rPr>
                <w:rFonts w:eastAsia="Times New Roman"/>
              </w:rPr>
            </w:pPr>
            <w:r>
              <w:rPr>
                <w:rFonts w:eastAsia="Times New Roman"/>
              </w:rPr>
              <w:t xml:space="preserve">0.4 (0.1, 1.2)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1 (0.3, 2.2) </w:t>
            </w:r>
          </w:p>
        </w:tc>
        <w:tc>
          <w:tcPr>
            <w:tcW w:w="0" w:type="auto"/>
            <w:hideMark/>
          </w:tcPr>
          <w:p w:rsidR="0038562D" w:rsidRDefault="0038562D" w:rsidP="00F52E66">
            <w:pPr>
              <w:rPr>
                <w:rFonts w:eastAsia="Times New Roman"/>
              </w:rPr>
            </w:pPr>
            <w:r>
              <w:rPr>
                <w:rFonts w:eastAsia="Times New Roman"/>
              </w:rPr>
              <w:t xml:space="preserve">0.3 (0.1, 1) </w:t>
            </w:r>
          </w:p>
        </w:tc>
        <w:tc>
          <w:tcPr>
            <w:tcW w:w="0" w:type="auto"/>
            <w:hideMark/>
          </w:tcPr>
          <w:p w:rsidR="0038562D" w:rsidRDefault="0038562D" w:rsidP="00F52E66">
            <w:pPr>
              <w:rPr>
                <w:rFonts w:eastAsia="Times New Roman"/>
              </w:rPr>
            </w:pPr>
            <w:r>
              <w:rPr>
                <w:rFonts w:eastAsia="Times New Roman"/>
              </w:rPr>
              <w:t xml:space="preserve">0.3 (0.1, 0.6)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1.6 (0.5, 3.8) </w:t>
            </w:r>
          </w:p>
        </w:tc>
        <w:tc>
          <w:tcPr>
            <w:tcW w:w="0" w:type="auto"/>
            <w:hideMark/>
          </w:tcPr>
          <w:p w:rsidR="0038562D" w:rsidRDefault="0038562D" w:rsidP="00F52E66">
            <w:pPr>
              <w:rPr>
                <w:rFonts w:eastAsia="Times New Roman"/>
              </w:rPr>
            </w:pPr>
            <w:r>
              <w:rPr>
                <w:rFonts w:eastAsia="Times New Roman"/>
              </w:rPr>
              <w:t xml:space="preserve">0.5 (0.1, 1.4) </w:t>
            </w:r>
          </w:p>
        </w:tc>
        <w:tc>
          <w:tcPr>
            <w:tcW w:w="0" w:type="auto"/>
            <w:hideMark/>
          </w:tcPr>
          <w:p w:rsidR="0038562D" w:rsidRDefault="0038562D" w:rsidP="00F52E66">
            <w:pPr>
              <w:rPr>
                <w:rFonts w:eastAsia="Times New Roman"/>
              </w:rPr>
            </w:pPr>
            <w:r>
              <w:rPr>
                <w:rFonts w:eastAsia="Times New Roman"/>
              </w:rPr>
              <w:t xml:space="preserve">0.4 (0.1, 0.8)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1.1 (0.4, 2.4) </w:t>
            </w:r>
          </w:p>
        </w:tc>
        <w:tc>
          <w:tcPr>
            <w:tcW w:w="0" w:type="auto"/>
            <w:hideMark/>
          </w:tcPr>
          <w:p w:rsidR="0038562D" w:rsidRDefault="0038562D" w:rsidP="00F52E66">
            <w:pPr>
              <w:rPr>
                <w:rFonts w:eastAsia="Times New Roman"/>
              </w:rPr>
            </w:pPr>
            <w:r>
              <w:rPr>
                <w:rFonts w:eastAsia="Times New Roman"/>
              </w:rPr>
              <w:t xml:space="preserve">0.4 (0.1, 1.1) </w:t>
            </w:r>
          </w:p>
        </w:tc>
        <w:tc>
          <w:tcPr>
            <w:tcW w:w="0" w:type="auto"/>
            <w:hideMark/>
          </w:tcPr>
          <w:p w:rsidR="0038562D" w:rsidRDefault="0038562D" w:rsidP="00F52E66">
            <w:pPr>
              <w:rPr>
                <w:rFonts w:eastAsia="Times New Roman"/>
              </w:rPr>
            </w:pPr>
            <w:r>
              <w:rPr>
                <w:rFonts w:eastAsia="Times New Roman"/>
              </w:rPr>
              <w:t xml:space="preserve">0.4 (0.1, 0.8)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1.2 (0.4, 2.6) </w:t>
            </w:r>
          </w:p>
        </w:tc>
        <w:tc>
          <w:tcPr>
            <w:tcW w:w="0" w:type="auto"/>
            <w:hideMark/>
          </w:tcPr>
          <w:p w:rsidR="0038562D" w:rsidRDefault="0038562D" w:rsidP="00F52E66">
            <w:pPr>
              <w:rPr>
                <w:rFonts w:eastAsia="Times New Roman"/>
              </w:rPr>
            </w:pPr>
            <w:r>
              <w:rPr>
                <w:rFonts w:eastAsia="Times New Roman"/>
              </w:rPr>
              <w:t xml:space="preserve">0.4 (0.1, 1.2) </w:t>
            </w:r>
          </w:p>
        </w:tc>
        <w:tc>
          <w:tcPr>
            <w:tcW w:w="0" w:type="auto"/>
            <w:hideMark/>
          </w:tcPr>
          <w:p w:rsidR="0038562D" w:rsidRDefault="0038562D" w:rsidP="00F52E66">
            <w:pPr>
              <w:rPr>
                <w:rFonts w:eastAsia="Times New Roman"/>
              </w:rPr>
            </w:pPr>
            <w:r>
              <w:rPr>
                <w:rFonts w:eastAsia="Times New Roman"/>
              </w:rPr>
              <w:t xml:space="preserve">0.4 (0.1, 0.9)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1.1 (0.3, 2.5) </w:t>
            </w:r>
          </w:p>
        </w:tc>
        <w:tc>
          <w:tcPr>
            <w:tcW w:w="0" w:type="auto"/>
            <w:hideMark/>
          </w:tcPr>
          <w:p w:rsidR="0038562D" w:rsidRDefault="0038562D" w:rsidP="00F52E66">
            <w:pPr>
              <w:rPr>
                <w:rFonts w:eastAsia="Times New Roman"/>
              </w:rPr>
            </w:pPr>
            <w:r>
              <w:rPr>
                <w:rFonts w:eastAsia="Times New Roman"/>
              </w:rPr>
              <w:t xml:space="preserve">0.5 (0.1, 1.4) </w:t>
            </w:r>
          </w:p>
        </w:tc>
        <w:tc>
          <w:tcPr>
            <w:tcW w:w="0" w:type="auto"/>
            <w:hideMark/>
          </w:tcPr>
          <w:p w:rsidR="0038562D" w:rsidRDefault="0038562D" w:rsidP="00F52E66">
            <w:pPr>
              <w:rPr>
                <w:rFonts w:eastAsia="Times New Roman"/>
              </w:rPr>
            </w:pPr>
            <w:r>
              <w:rPr>
                <w:rFonts w:eastAsia="Times New Roman"/>
              </w:rPr>
              <w:t xml:space="preserve">0.4 (0.1, 0.9) </w:t>
            </w:r>
          </w:p>
        </w:tc>
      </w:tr>
      <w:tr w:rsidR="0038562D" w:rsidTr="00A03543">
        <w:tc>
          <w:tcPr>
            <w:tcW w:w="0" w:type="auto"/>
            <w:hideMark/>
          </w:tcPr>
          <w:p w:rsidR="0038562D" w:rsidRDefault="0038562D" w:rsidP="00F52E66">
            <w:pPr>
              <w:rPr>
                <w:rFonts w:eastAsia="Times New Roman"/>
              </w:rPr>
            </w:pPr>
            <w:r>
              <w:rPr>
                <w:rFonts w:eastAsia="Times New Roman"/>
              </w:rPr>
              <w:t xml:space="preserve">West South Central </w:t>
            </w:r>
          </w:p>
        </w:tc>
        <w:tc>
          <w:tcPr>
            <w:tcW w:w="0" w:type="auto"/>
            <w:hideMark/>
          </w:tcPr>
          <w:p w:rsidR="0038562D" w:rsidRDefault="0038562D" w:rsidP="00F52E66">
            <w:pPr>
              <w:rPr>
                <w:rFonts w:eastAsia="Times New Roman"/>
              </w:rPr>
            </w:pPr>
          </w:p>
        </w:tc>
        <w:tc>
          <w:tcPr>
            <w:tcW w:w="0" w:type="auto"/>
            <w:hideMark/>
          </w:tcPr>
          <w:p w:rsidR="0038562D" w:rsidRDefault="0038562D" w:rsidP="00F52E66">
            <w:pPr>
              <w:rPr>
                <w:rFonts w:eastAsia="Times New Roman"/>
                <w:sz w:val="20"/>
                <w:szCs w:val="20"/>
              </w:rPr>
            </w:pPr>
          </w:p>
        </w:tc>
        <w:tc>
          <w:tcPr>
            <w:tcW w:w="0" w:type="auto"/>
            <w:hideMark/>
          </w:tcPr>
          <w:p w:rsidR="0038562D" w:rsidRDefault="0038562D" w:rsidP="00F52E66">
            <w:pPr>
              <w:rPr>
                <w:rFonts w:eastAsia="Times New Roman"/>
                <w:sz w:val="20"/>
                <w:szCs w:val="20"/>
              </w:rPr>
            </w:pPr>
          </w:p>
        </w:tc>
      </w:tr>
      <w:tr w:rsidR="0038562D" w:rsidTr="00A03543">
        <w:tc>
          <w:tcPr>
            <w:tcW w:w="0" w:type="auto"/>
            <w:hideMark/>
          </w:tcPr>
          <w:p w:rsidR="0038562D" w:rsidRDefault="0038562D" w:rsidP="00F52E66">
            <w:pPr>
              <w:rPr>
                <w:rFonts w:eastAsia="Times New Roman"/>
                <w:sz w:val="24"/>
                <w:szCs w:val="24"/>
              </w:rPr>
            </w:pPr>
            <w:r>
              <w:rPr>
                <w:rFonts w:eastAsia="Times New Roman"/>
              </w:rPr>
              <w:t xml:space="preserve">- Large Central Metro </w:t>
            </w:r>
          </w:p>
        </w:tc>
        <w:tc>
          <w:tcPr>
            <w:tcW w:w="0" w:type="auto"/>
            <w:hideMark/>
          </w:tcPr>
          <w:p w:rsidR="0038562D" w:rsidRDefault="0038562D" w:rsidP="00F52E66">
            <w:pPr>
              <w:rPr>
                <w:rFonts w:eastAsia="Times New Roman"/>
              </w:rPr>
            </w:pPr>
            <w:r>
              <w:rPr>
                <w:rFonts w:eastAsia="Times New Roman"/>
              </w:rPr>
              <w:t xml:space="preserve">1.2 (0.4, 2.7) </w:t>
            </w:r>
          </w:p>
        </w:tc>
        <w:tc>
          <w:tcPr>
            <w:tcW w:w="0" w:type="auto"/>
            <w:hideMark/>
          </w:tcPr>
          <w:p w:rsidR="0038562D" w:rsidRDefault="0038562D" w:rsidP="00F52E66">
            <w:pPr>
              <w:rPr>
                <w:rFonts w:eastAsia="Times New Roman"/>
              </w:rPr>
            </w:pPr>
            <w:r>
              <w:rPr>
                <w:rFonts w:eastAsia="Times New Roman"/>
              </w:rPr>
              <w:t xml:space="preserve">0.7 (0.1, 1.9) </w:t>
            </w:r>
          </w:p>
        </w:tc>
        <w:tc>
          <w:tcPr>
            <w:tcW w:w="0" w:type="auto"/>
            <w:hideMark/>
          </w:tcPr>
          <w:p w:rsidR="0038562D" w:rsidRDefault="0038562D" w:rsidP="00F52E66">
            <w:pPr>
              <w:rPr>
                <w:rFonts w:eastAsia="Times New Roman"/>
              </w:rPr>
            </w:pPr>
            <w:r>
              <w:rPr>
                <w:rFonts w:eastAsia="Times New Roman"/>
              </w:rPr>
              <w:t xml:space="preserve">0.5 (0.2, 1.1) </w:t>
            </w:r>
          </w:p>
        </w:tc>
      </w:tr>
      <w:tr w:rsidR="0038562D" w:rsidTr="00A03543">
        <w:tc>
          <w:tcPr>
            <w:tcW w:w="0" w:type="auto"/>
            <w:hideMark/>
          </w:tcPr>
          <w:p w:rsidR="0038562D" w:rsidRDefault="0038562D" w:rsidP="00F52E66">
            <w:pPr>
              <w:rPr>
                <w:rFonts w:eastAsia="Times New Roman"/>
              </w:rPr>
            </w:pPr>
            <w:r>
              <w:rPr>
                <w:rFonts w:eastAsia="Times New Roman"/>
              </w:rPr>
              <w:t xml:space="preserve">- Large Fringe Metro </w:t>
            </w:r>
          </w:p>
        </w:tc>
        <w:tc>
          <w:tcPr>
            <w:tcW w:w="0" w:type="auto"/>
            <w:hideMark/>
          </w:tcPr>
          <w:p w:rsidR="0038562D" w:rsidRDefault="0038562D" w:rsidP="00F52E66">
            <w:pPr>
              <w:rPr>
                <w:rFonts w:eastAsia="Times New Roman"/>
              </w:rPr>
            </w:pPr>
            <w:r>
              <w:rPr>
                <w:rFonts w:eastAsia="Times New Roman"/>
              </w:rPr>
              <w:t xml:space="preserve">0.8 (0.3, 1.8) </w:t>
            </w:r>
          </w:p>
        </w:tc>
        <w:tc>
          <w:tcPr>
            <w:tcW w:w="0" w:type="auto"/>
            <w:hideMark/>
          </w:tcPr>
          <w:p w:rsidR="0038562D" w:rsidRDefault="0038562D" w:rsidP="00F52E66">
            <w:pPr>
              <w:rPr>
                <w:rFonts w:eastAsia="Times New Roman"/>
              </w:rPr>
            </w:pPr>
            <w:r>
              <w:rPr>
                <w:rFonts w:eastAsia="Times New Roman"/>
              </w:rPr>
              <w:t xml:space="preserve">0.6 (0.1, 1.6) </w:t>
            </w:r>
          </w:p>
        </w:tc>
        <w:tc>
          <w:tcPr>
            <w:tcW w:w="0" w:type="auto"/>
            <w:hideMark/>
          </w:tcPr>
          <w:p w:rsidR="0038562D" w:rsidRDefault="0038562D" w:rsidP="00F52E66">
            <w:pPr>
              <w:rPr>
                <w:rFonts w:eastAsia="Times New Roman"/>
              </w:rPr>
            </w:pPr>
            <w:r>
              <w:rPr>
                <w:rFonts w:eastAsia="Times New Roman"/>
              </w:rPr>
              <w:t xml:space="preserve">0.5 (0.2, 1.1) </w:t>
            </w:r>
          </w:p>
        </w:tc>
      </w:tr>
      <w:tr w:rsidR="0038562D" w:rsidTr="00A03543">
        <w:tc>
          <w:tcPr>
            <w:tcW w:w="0" w:type="auto"/>
            <w:hideMark/>
          </w:tcPr>
          <w:p w:rsidR="0038562D" w:rsidRDefault="0038562D" w:rsidP="00F52E66">
            <w:pPr>
              <w:rPr>
                <w:rFonts w:eastAsia="Times New Roman"/>
              </w:rPr>
            </w:pPr>
            <w:r>
              <w:rPr>
                <w:rFonts w:eastAsia="Times New Roman"/>
              </w:rPr>
              <w:t xml:space="preserve">- Medium Metro </w:t>
            </w:r>
          </w:p>
        </w:tc>
        <w:tc>
          <w:tcPr>
            <w:tcW w:w="0" w:type="auto"/>
            <w:hideMark/>
          </w:tcPr>
          <w:p w:rsidR="0038562D" w:rsidRDefault="0038562D" w:rsidP="00F52E66">
            <w:pPr>
              <w:rPr>
                <w:rFonts w:eastAsia="Times New Roman"/>
              </w:rPr>
            </w:pPr>
            <w:r>
              <w:rPr>
                <w:rFonts w:eastAsia="Times New Roman"/>
              </w:rPr>
              <w:t xml:space="preserve">1.4 (0.5, 3.1) </w:t>
            </w:r>
          </w:p>
        </w:tc>
        <w:tc>
          <w:tcPr>
            <w:tcW w:w="0" w:type="auto"/>
            <w:hideMark/>
          </w:tcPr>
          <w:p w:rsidR="0038562D" w:rsidRDefault="0038562D" w:rsidP="00F52E66">
            <w:pPr>
              <w:rPr>
                <w:rFonts w:eastAsia="Times New Roman"/>
              </w:rPr>
            </w:pPr>
            <w:r>
              <w:rPr>
                <w:rFonts w:eastAsia="Times New Roman"/>
              </w:rPr>
              <w:t xml:space="preserve">0.8 (0.2, 2.3) </w:t>
            </w:r>
          </w:p>
        </w:tc>
        <w:tc>
          <w:tcPr>
            <w:tcW w:w="0" w:type="auto"/>
            <w:hideMark/>
          </w:tcPr>
          <w:p w:rsidR="0038562D" w:rsidRDefault="0038562D" w:rsidP="00F52E66">
            <w:pPr>
              <w:rPr>
                <w:rFonts w:eastAsia="Times New Roman"/>
              </w:rPr>
            </w:pPr>
            <w:r>
              <w:rPr>
                <w:rFonts w:eastAsia="Times New Roman"/>
              </w:rPr>
              <w:t xml:space="preserve">0.7 (0.2, 1.4) </w:t>
            </w:r>
          </w:p>
        </w:tc>
      </w:tr>
      <w:tr w:rsidR="0038562D" w:rsidTr="00A03543">
        <w:tc>
          <w:tcPr>
            <w:tcW w:w="0" w:type="auto"/>
            <w:hideMark/>
          </w:tcPr>
          <w:p w:rsidR="0038562D" w:rsidRDefault="0038562D" w:rsidP="00F52E66">
            <w:pPr>
              <w:rPr>
                <w:rFonts w:eastAsia="Times New Roman"/>
              </w:rPr>
            </w:pPr>
            <w:r>
              <w:rPr>
                <w:rFonts w:eastAsia="Times New Roman"/>
              </w:rPr>
              <w:t xml:space="preserve">- Small Metro </w:t>
            </w:r>
          </w:p>
        </w:tc>
        <w:tc>
          <w:tcPr>
            <w:tcW w:w="0" w:type="auto"/>
            <w:hideMark/>
          </w:tcPr>
          <w:p w:rsidR="0038562D" w:rsidRDefault="0038562D" w:rsidP="00F52E66">
            <w:pPr>
              <w:rPr>
                <w:rFonts w:eastAsia="Times New Roman"/>
              </w:rPr>
            </w:pPr>
            <w:r>
              <w:rPr>
                <w:rFonts w:eastAsia="Times New Roman"/>
              </w:rPr>
              <w:t xml:space="preserve">0.9 (0.3, 2) </w:t>
            </w:r>
          </w:p>
        </w:tc>
        <w:tc>
          <w:tcPr>
            <w:tcW w:w="0" w:type="auto"/>
            <w:hideMark/>
          </w:tcPr>
          <w:p w:rsidR="0038562D" w:rsidRDefault="0038562D" w:rsidP="00F52E66">
            <w:pPr>
              <w:rPr>
                <w:rFonts w:eastAsia="Times New Roman"/>
              </w:rPr>
            </w:pPr>
            <w:r>
              <w:rPr>
                <w:rFonts w:eastAsia="Times New Roman"/>
              </w:rPr>
              <w:t xml:space="preserve">0.7 (0.1, 2) </w:t>
            </w:r>
          </w:p>
        </w:tc>
        <w:tc>
          <w:tcPr>
            <w:tcW w:w="0" w:type="auto"/>
            <w:hideMark/>
          </w:tcPr>
          <w:p w:rsidR="0038562D" w:rsidRDefault="0038562D" w:rsidP="00F52E66">
            <w:pPr>
              <w:rPr>
                <w:rFonts w:eastAsia="Times New Roman"/>
              </w:rPr>
            </w:pPr>
            <w:r>
              <w:rPr>
                <w:rFonts w:eastAsia="Times New Roman"/>
              </w:rPr>
              <w:t xml:space="preserve">0.7 (0.2, 1.5) </w:t>
            </w:r>
          </w:p>
        </w:tc>
      </w:tr>
      <w:tr w:rsidR="0038562D" w:rsidTr="00A03543">
        <w:tc>
          <w:tcPr>
            <w:tcW w:w="0" w:type="auto"/>
            <w:hideMark/>
          </w:tcPr>
          <w:p w:rsidR="0038562D" w:rsidRDefault="0038562D" w:rsidP="00F52E66">
            <w:pPr>
              <w:rPr>
                <w:rFonts w:eastAsia="Times New Roman"/>
              </w:rPr>
            </w:pPr>
            <w:r>
              <w:rPr>
                <w:rFonts w:eastAsia="Times New Roman"/>
              </w:rPr>
              <w:t xml:space="preserve">- Micropolitan </w:t>
            </w:r>
          </w:p>
        </w:tc>
        <w:tc>
          <w:tcPr>
            <w:tcW w:w="0" w:type="auto"/>
            <w:hideMark/>
          </w:tcPr>
          <w:p w:rsidR="0038562D" w:rsidRDefault="0038562D" w:rsidP="00F52E66">
            <w:pPr>
              <w:rPr>
                <w:rFonts w:eastAsia="Times New Roman"/>
              </w:rPr>
            </w:pPr>
            <w:r>
              <w:rPr>
                <w:rFonts w:eastAsia="Times New Roman"/>
              </w:rPr>
              <w:t xml:space="preserve">1 (0.3, 2.2) </w:t>
            </w:r>
          </w:p>
        </w:tc>
        <w:tc>
          <w:tcPr>
            <w:tcW w:w="0" w:type="auto"/>
            <w:hideMark/>
          </w:tcPr>
          <w:p w:rsidR="0038562D" w:rsidRDefault="0038562D" w:rsidP="00F52E66">
            <w:pPr>
              <w:rPr>
                <w:rFonts w:eastAsia="Times New Roman"/>
              </w:rPr>
            </w:pPr>
            <w:r>
              <w:rPr>
                <w:rFonts w:eastAsia="Times New Roman"/>
              </w:rPr>
              <w:t xml:space="preserve">0.7 (0.1, 1.9) </w:t>
            </w:r>
          </w:p>
        </w:tc>
        <w:tc>
          <w:tcPr>
            <w:tcW w:w="0" w:type="auto"/>
            <w:hideMark/>
          </w:tcPr>
          <w:p w:rsidR="0038562D" w:rsidRDefault="0038562D" w:rsidP="00F52E66">
            <w:pPr>
              <w:rPr>
                <w:rFonts w:eastAsia="Times New Roman"/>
              </w:rPr>
            </w:pPr>
            <w:r>
              <w:rPr>
                <w:rFonts w:eastAsia="Times New Roman"/>
              </w:rPr>
              <w:t xml:space="preserve">0.7 (0.2, 1.6) </w:t>
            </w:r>
          </w:p>
        </w:tc>
      </w:tr>
      <w:tr w:rsidR="0038562D" w:rsidTr="00A03543">
        <w:tc>
          <w:tcPr>
            <w:tcW w:w="0" w:type="auto"/>
            <w:hideMark/>
          </w:tcPr>
          <w:p w:rsidR="0038562D" w:rsidRDefault="0038562D" w:rsidP="00F52E66">
            <w:pPr>
              <w:rPr>
                <w:rFonts w:eastAsia="Times New Roman"/>
              </w:rPr>
            </w:pPr>
            <w:r>
              <w:rPr>
                <w:rFonts w:eastAsia="Times New Roman"/>
              </w:rPr>
              <w:t xml:space="preserve">- Noncore </w:t>
            </w:r>
          </w:p>
        </w:tc>
        <w:tc>
          <w:tcPr>
            <w:tcW w:w="0" w:type="auto"/>
            <w:hideMark/>
          </w:tcPr>
          <w:p w:rsidR="0038562D" w:rsidRDefault="0038562D" w:rsidP="00F52E66">
            <w:pPr>
              <w:rPr>
                <w:rFonts w:eastAsia="Times New Roman"/>
              </w:rPr>
            </w:pPr>
            <w:r>
              <w:rPr>
                <w:rFonts w:eastAsia="Times New Roman"/>
              </w:rPr>
              <w:t xml:space="preserve">0.9 (0.3, 2.1) </w:t>
            </w:r>
          </w:p>
        </w:tc>
        <w:tc>
          <w:tcPr>
            <w:tcW w:w="0" w:type="auto"/>
            <w:hideMark/>
          </w:tcPr>
          <w:p w:rsidR="0038562D" w:rsidRDefault="0038562D" w:rsidP="00F52E66">
            <w:pPr>
              <w:rPr>
                <w:rFonts w:eastAsia="Times New Roman"/>
              </w:rPr>
            </w:pPr>
            <w:r>
              <w:rPr>
                <w:rFonts w:eastAsia="Times New Roman"/>
              </w:rPr>
              <w:t xml:space="preserve">0.8 (0.2, 2.4) </w:t>
            </w:r>
          </w:p>
        </w:tc>
        <w:tc>
          <w:tcPr>
            <w:tcW w:w="0" w:type="auto"/>
            <w:hideMark/>
          </w:tcPr>
          <w:p w:rsidR="0038562D" w:rsidRDefault="0038562D" w:rsidP="00F52E66">
            <w:pPr>
              <w:rPr>
                <w:rFonts w:eastAsia="Times New Roman"/>
              </w:rPr>
            </w:pPr>
            <w:r>
              <w:rPr>
                <w:rFonts w:eastAsia="Times New Roman"/>
              </w:rPr>
              <w:t xml:space="preserve">0.7 (0.2, 1.6) </w:t>
            </w:r>
          </w:p>
        </w:tc>
      </w:tr>
    </w:tbl>
    <w:p w:rsidR="0038562D" w:rsidRDefault="0038562D" w:rsidP="0038562D">
      <w:pPr>
        <w:rPr>
          <w:rFonts w:eastAsia="Times New Roman"/>
        </w:rPr>
      </w:pPr>
    </w:p>
    <w:p w:rsidR="00AC2177" w:rsidRDefault="00AC2177" w:rsidP="00FD189F">
      <w:pPr>
        <w:spacing w:line="240" w:lineRule="auto"/>
        <w:rPr>
          <w:rFonts w:ascii="Cambria" w:hAnsi="Cambria"/>
          <w:sz w:val="24"/>
          <w:szCs w:val="24"/>
        </w:rPr>
      </w:pPr>
    </w:p>
    <w:p w:rsidR="0033597E" w:rsidRPr="00336093" w:rsidRDefault="0033597E" w:rsidP="00FD189F">
      <w:pPr>
        <w:spacing w:line="240" w:lineRule="auto"/>
        <w:rPr>
          <w:rFonts w:ascii="Cambria" w:hAnsi="Cambria"/>
          <w:b/>
          <w:sz w:val="24"/>
          <w:szCs w:val="24"/>
        </w:rPr>
      </w:pPr>
    </w:p>
    <w:sectPr w:rsidR="0033597E" w:rsidRPr="0033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9F7"/>
    <w:rsid w:val="00005525"/>
    <w:rsid w:val="000648F5"/>
    <w:rsid w:val="00085683"/>
    <w:rsid w:val="000D5C1E"/>
    <w:rsid w:val="000F00DA"/>
    <w:rsid w:val="00193F54"/>
    <w:rsid w:val="001A7656"/>
    <w:rsid w:val="001C00A9"/>
    <w:rsid w:val="001C10A7"/>
    <w:rsid w:val="001E48B2"/>
    <w:rsid w:val="001F51F9"/>
    <w:rsid w:val="002408D5"/>
    <w:rsid w:val="00243DF4"/>
    <w:rsid w:val="00271717"/>
    <w:rsid w:val="00275EC8"/>
    <w:rsid w:val="00281C53"/>
    <w:rsid w:val="002A3BC3"/>
    <w:rsid w:val="00304CA3"/>
    <w:rsid w:val="00307621"/>
    <w:rsid w:val="00311033"/>
    <w:rsid w:val="00332E38"/>
    <w:rsid w:val="0033597E"/>
    <w:rsid w:val="00336093"/>
    <w:rsid w:val="0036701D"/>
    <w:rsid w:val="0038562D"/>
    <w:rsid w:val="0039312C"/>
    <w:rsid w:val="003978B7"/>
    <w:rsid w:val="003D55AA"/>
    <w:rsid w:val="003E4FF6"/>
    <w:rsid w:val="00403F0E"/>
    <w:rsid w:val="00424ABE"/>
    <w:rsid w:val="00440DB9"/>
    <w:rsid w:val="00443B85"/>
    <w:rsid w:val="00452B4C"/>
    <w:rsid w:val="0045644D"/>
    <w:rsid w:val="004765B3"/>
    <w:rsid w:val="004803E6"/>
    <w:rsid w:val="004818E7"/>
    <w:rsid w:val="004A0447"/>
    <w:rsid w:val="004A3E8C"/>
    <w:rsid w:val="004D41EB"/>
    <w:rsid w:val="004E3F33"/>
    <w:rsid w:val="0057008A"/>
    <w:rsid w:val="00583A37"/>
    <w:rsid w:val="0059401C"/>
    <w:rsid w:val="005C7542"/>
    <w:rsid w:val="005E242D"/>
    <w:rsid w:val="005F20B4"/>
    <w:rsid w:val="006019F7"/>
    <w:rsid w:val="00606BB6"/>
    <w:rsid w:val="00642041"/>
    <w:rsid w:val="00646A28"/>
    <w:rsid w:val="00650316"/>
    <w:rsid w:val="00657370"/>
    <w:rsid w:val="0067206E"/>
    <w:rsid w:val="00693234"/>
    <w:rsid w:val="006A26AC"/>
    <w:rsid w:val="006A3A01"/>
    <w:rsid w:val="006B6BE8"/>
    <w:rsid w:val="006D02C0"/>
    <w:rsid w:val="006D50A3"/>
    <w:rsid w:val="0070725F"/>
    <w:rsid w:val="00721B82"/>
    <w:rsid w:val="007251CE"/>
    <w:rsid w:val="0072660A"/>
    <w:rsid w:val="00732AC9"/>
    <w:rsid w:val="00737A30"/>
    <w:rsid w:val="00743508"/>
    <w:rsid w:val="00772747"/>
    <w:rsid w:val="00776FE7"/>
    <w:rsid w:val="007B3275"/>
    <w:rsid w:val="007B5DA5"/>
    <w:rsid w:val="007C1480"/>
    <w:rsid w:val="007C6704"/>
    <w:rsid w:val="007F38A0"/>
    <w:rsid w:val="007F432D"/>
    <w:rsid w:val="00800BB5"/>
    <w:rsid w:val="00825945"/>
    <w:rsid w:val="00826B59"/>
    <w:rsid w:val="008376B3"/>
    <w:rsid w:val="00850B45"/>
    <w:rsid w:val="00857FB7"/>
    <w:rsid w:val="0089095F"/>
    <w:rsid w:val="00894D23"/>
    <w:rsid w:val="008C6E6B"/>
    <w:rsid w:val="008D57A8"/>
    <w:rsid w:val="008F755E"/>
    <w:rsid w:val="009204CB"/>
    <w:rsid w:val="00943273"/>
    <w:rsid w:val="00944C42"/>
    <w:rsid w:val="00944EFB"/>
    <w:rsid w:val="00957437"/>
    <w:rsid w:val="009C770D"/>
    <w:rsid w:val="009D2D08"/>
    <w:rsid w:val="00A03543"/>
    <w:rsid w:val="00A0718E"/>
    <w:rsid w:val="00A30B11"/>
    <w:rsid w:val="00A51801"/>
    <w:rsid w:val="00A52843"/>
    <w:rsid w:val="00A54250"/>
    <w:rsid w:val="00A6357A"/>
    <w:rsid w:val="00A86A65"/>
    <w:rsid w:val="00AB66F9"/>
    <w:rsid w:val="00AC2177"/>
    <w:rsid w:val="00AC4430"/>
    <w:rsid w:val="00AD3FE3"/>
    <w:rsid w:val="00B06B96"/>
    <w:rsid w:val="00B55387"/>
    <w:rsid w:val="00B755B8"/>
    <w:rsid w:val="00B83579"/>
    <w:rsid w:val="00B87DB8"/>
    <w:rsid w:val="00BC7275"/>
    <w:rsid w:val="00C469FA"/>
    <w:rsid w:val="00C57E43"/>
    <w:rsid w:val="00C66FB7"/>
    <w:rsid w:val="00C67033"/>
    <w:rsid w:val="00C74E09"/>
    <w:rsid w:val="00C96A2F"/>
    <w:rsid w:val="00CA1FB6"/>
    <w:rsid w:val="00CA223C"/>
    <w:rsid w:val="00CA3DBB"/>
    <w:rsid w:val="00CC25DC"/>
    <w:rsid w:val="00CF035B"/>
    <w:rsid w:val="00CF23EE"/>
    <w:rsid w:val="00D004E7"/>
    <w:rsid w:val="00D00B49"/>
    <w:rsid w:val="00D03D0E"/>
    <w:rsid w:val="00D155C1"/>
    <w:rsid w:val="00D505C9"/>
    <w:rsid w:val="00D57A68"/>
    <w:rsid w:val="00D81DF2"/>
    <w:rsid w:val="00D865E3"/>
    <w:rsid w:val="00DD0F81"/>
    <w:rsid w:val="00DE632F"/>
    <w:rsid w:val="00E1029E"/>
    <w:rsid w:val="00E35BEE"/>
    <w:rsid w:val="00E63740"/>
    <w:rsid w:val="00E66F04"/>
    <w:rsid w:val="00E9339F"/>
    <w:rsid w:val="00E945B3"/>
    <w:rsid w:val="00EF31AA"/>
    <w:rsid w:val="00F21D9A"/>
    <w:rsid w:val="00F52E66"/>
    <w:rsid w:val="00F56CB0"/>
    <w:rsid w:val="00F738F1"/>
    <w:rsid w:val="00F90007"/>
    <w:rsid w:val="00F9640D"/>
    <w:rsid w:val="00FC4E52"/>
    <w:rsid w:val="00FD01BE"/>
    <w:rsid w:val="00FD189F"/>
    <w:rsid w:val="00FF4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42E72"/>
  <w15:chartTrackingRefBased/>
  <w15:docId w15:val="{08E8A485-F3A5-455C-B85D-49960FA1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2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A26AC"/>
    <w:pPr>
      <w:tabs>
        <w:tab w:val="left" w:pos="504"/>
      </w:tabs>
      <w:spacing w:after="240" w:line="240" w:lineRule="auto"/>
      <w:ind w:left="504" w:hanging="504"/>
    </w:pPr>
  </w:style>
  <w:style w:type="table" w:styleId="TableGridLight">
    <w:name w:val="Grid Table Light"/>
    <w:basedOn w:val="TableNormal"/>
    <w:uiPriority w:val="40"/>
    <w:rsid w:val="00A035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555B6-A981-4E09-9E81-93B8A6007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TotalTime>
  <Pages>13</Pages>
  <Words>10045</Words>
  <Characters>57258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fedwards</dc:creator>
  <cp:keywords/>
  <dc:description/>
  <cp:lastModifiedBy>fedwards</cp:lastModifiedBy>
  <cp:revision>133</cp:revision>
  <dcterms:created xsi:type="dcterms:W3CDTF">2017-06-19T19:54:00Z</dcterms:created>
  <dcterms:modified xsi:type="dcterms:W3CDTF">2017-06-21T23:10:00Z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id="za8OJ1nr"/&gt;&lt;style id="http://www.zotero.org/styles/american-medical-association" hasBibliography="1" bibliographyStyleHasBeenSet="1"/&gt;&lt;prefs&gt;&lt;pref name="fieldType" value="Field"/&gt;&lt;pref name="s</vt:lpwstr>
  </property>
  <property fmtid="{D5CDD505-2E9C-101B-9397-08002B2CF9AE}" pid="3" name="ZOTERO_PREF_2">
    <vt:lpwstr>toreReferences" value="true"/&gt;&lt;pref name="automaticJournalAbbreviations" value="true"/&gt;&lt;pref name="noteType" value=""/&gt;&lt;/prefs&gt;&lt;/data&gt;</vt:lpwstr>
  </property>
</Properties>
</file>