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05EB8"/>
          <w:sz w:val="44"/>
          <w:szCs w:val="44"/>
        </w:rPr>
        <w:t xml:space="preserve">NHS Barts Health</w:t>
      </w:r>
    </w:p>
    <w:p>
      <w:pPr>
        <w:spacing w:after="200"/>
        <w:jc w:val="center"/>
      </w:pPr>
      <w:r>
        <w:rPr>
          <w:rFonts w:ascii="Arial" w:cs="Arial" w:eastAsia="Arial" w:hAnsi="Arial"/>
          <w:b/>
          <w:bCs/>
          <w:color w:val="1E3A5F"/>
          <w:sz w:val="36"/>
          <w:szCs w:val="36"/>
        </w:rPr>
        <w:t xml:space="preserve">Supplier Setup Form (SSF)</w:t>
      </w:r>
    </w:p>
    <w:p>
      <w:pPr>
        <w:spacing w:after="600"/>
        <w:jc w:val="center"/>
      </w:pPr>
      <w:r>
        <w:rPr>
          <w:rFonts w:ascii="Arial" w:cs="Arial" w:eastAsia="Arial" w:hAnsi="Arial"/>
          <w:color w:val="4B5563"/>
          <w:sz w:val="30"/>
          <w:szCs w:val="30"/>
        </w:rPr>
        <w:t xml:space="preserve">Comprehensive Project Analysis</w:t>
      </w:r>
    </w:p>
    <w:p>
      <w:pPr>
        <w:spacing w:after="100"/>
        <w:jc w:val="center"/>
      </w:pPr>
      <w:r>
        <w:rPr>
          <w:rFonts w:ascii="Arial" w:cs="Arial" w:eastAsia="Arial" w:hAnsi="Arial"/>
          <w:color w:val="6B7280"/>
          <w:sz w:val="20"/>
          <w:szCs w:val="20"/>
        </w:rPr>
        <w:t xml:space="preserve">Security Review | Architecture Assessment | Future-Proofing Recommendations</w:t>
      </w:r>
    </w:p>
    <w:p>
      <w:pPr>
        <w:spacing w:before="8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February 2026</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Barts_Health_SSF</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CONFIDENTIAL</w:t>
            </w:r>
          </w:p>
        </w:tc>
      </w:tr>
    </w:tbl>
    <w:p>
      <w:pPr>
        <w:pageBreakBefore/>
      </w:pPr>
      <w:r>
        <w:br/>
      </w:r>
      <w:r>
        <w:t xml:space="preserv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presents a comprehensive analysis of the Barts Health NHS Trust Supplier Setup Form (SSF) web application. The project is a React + Express.js full-stack application designed to modernise and digitise the supplier onboarding workflow across the Trust's hospitals.</w:t>
      </w:r>
    </w:p>
    <w:p>
      <w:pPr>
        <w:spacing w:after="120"/>
      </w:pPr>
      <w:r>
        <w:rPr>
          <w:rFonts w:ascii="Arial" w:cs="Arial" w:eastAsia="Arial" w:hAnsi="Arial"/>
          <w:sz w:val="22"/>
          <w:szCs w:val="22"/>
        </w:rPr>
        <w:t xml:space="preserve">The application demonstrates strong architectural foundations with a well-structured multi-stage approval workflow (PBP, Procurement, OPW, Contract, AP Control), proper separation of concerns between frontend and backend, comprehensive audit logging, and integration with NHS enterprise systems (Azure AD, SharePoint, SQL Server, Alemba).</w:t>
      </w:r>
    </w:p>
    <w:p>
      <w:pPr>
        <w:spacing w:after="120"/>
      </w:pPr>
      <w:r>
        <w:rPr>
          <w:rFonts w:ascii="Arial" w:cs="Arial" w:eastAsia="Arial" w:hAnsi="Arial"/>
          <w:sz w:val="22"/>
          <w:szCs w:val="22"/>
        </w:rPr>
        <w:t xml:space="preserve">However, the analysis has identified 27 issues across security, architecture, validation, performance, user experience, and future-proofing categories. Of these, 5 are rated Critical and require immediate remediation before production deployment. 6 are rated High and should be addressed before go-live. The remaining 16 issues are Medium or Low priority and should be planned into subsequent development sprints.</w:t>
      </w:r>
    </w:p>
    <w:p>
      <w:pPr>
        <w:pStyle w:val="Heading2"/>
      </w:pPr>
      <w:r>
        <w:rPr>
          <w:rFonts w:ascii="Arial" w:cs="Arial" w:eastAsia="Arial" w:hAnsi="Arial"/>
        </w:rPr>
        <w:t xml:space="preserve">1.1 Issue Summary by Severity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3"/>
        <w:gridCol w:w="3003"/>
      </w:tblGrid>
      <w:tr>
        <w:tc>
          <w:tcPr>
            <w:tcW w:type="dxa" w:w="20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003"/>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Categories</w:t>
            </w:r>
          </w:p>
        </w:tc>
        <w:tc>
          <w:tcPr>
            <w:tcW w:type="dxa" w:w="3003"/>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(4), Data Integrity (1)</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remediation before any production deployment</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6</w:t>
            </w:r>
          </w:p>
        </w:tc>
        <w:tc>
          <w:tcPr>
            <w:tcW w:type="dxa" w:w="300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 (5), Architecture (1)</w:t>
            </w:r>
          </w:p>
        </w:tc>
        <w:tc>
          <w:tcPr>
            <w:tcW w:type="dxa" w:w="300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Must be resolved before go-live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(3), Validation (2), Data Integrity (1), Performance (1), Architecture (1)</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within first two sprints post-launch</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8</w:t>
            </w:r>
          </w:p>
        </w:tc>
        <w:tc>
          <w:tcPr>
            <w:tcW w:type="dxa" w:w="300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Future-Proofing (4), Architecture (2), UX (2)</w:t>
            </w:r>
          </w:p>
        </w:tc>
        <w:tc>
          <w:tcPr>
            <w:tcW w:type="dxa" w:w="300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Plan into product roadmap</w:t>
            </w:r>
          </w:p>
        </w:tc>
      </w:tr>
    </w:tbl>
    <w:p>
      <w:pPr>
        <w:pageBreakBefore/>
      </w:pPr>
      <w:r>
        <w:t xml:space="preserve"/>
      </w:r>
    </w:p>
    <w:p>
      <w:pPr>
        <w:pStyle w:val="Heading1"/>
      </w:pPr>
      <w:r>
        <w:rPr>
          <w:rFonts w:ascii="Arial" w:cs="Arial" w:eastAsia="Arial" w:hAnsi="Arial"/>
        </w:rPr>
        <w:t xml:space="preserve">2. Strengths and Positive Observations</w:t>
      </w:r>
    </w:p>
    <w:p>
      <w:pPr>
        <w:spacing w:after="120"/>
      </w:pPr>
      <w:r>
        <w:rPr>
          <w:rFonts w:ascii="Arial" w:cs="Arial" w:eastAsia="Arial" w:hAnsi="Arial"/>
          <w:sz w:val="22"/>
          <w:szCs w:val="22"/>
        </w:rPr>
        <w:t xml:space="preserve">Before detailing issues, it is important to recognise the considerable strengths already present in the codebase:</w:t>
      </w:r>
    </w:p>
    <w:p>
      <w:pPr>
        <w:pStyle w:val="ListParagraph"/>
        <w:numPr>
          <w:ilvl w:val="0"/>
          <w:numId w:val="2"/>
        </w:numPr>
        <w:spacing w:after="80"/>
      </w:pPr>
      <w:r>
        <w:rPr>
          <w:rFonts w:ascii="Arial" w:cs="Arial" w:eastAsia="Arial" w:hAnsi="Arial"/>
          <w:b/>
          <w:bCs/>
          <w:sz w:val="22"/>
          <w:szCs w:val="22"/>
        </w:rPr>
        <w:t xml:space="preserve">Well-designed multi-stage workflow: </w:t>
      </w:r>
      <w:r>
        <w:rPr>
          <w:rFonts w:ascii="Arial" w:cs="Arial" w:eastAsia="Arial" w:hAnsi="Arial"/>
          <w:sz w:val="22"/>
          <w:szCs w:val="22"/>
        </w:rPr>
        <w:t xml:space="preserve">The 5-stage approval pipeline (PBP &gt; Procurement &gt; OPW &gt; Contract &gt; AP Control) accurately models the real-world supplier onboarding process with proper status tracking.</w:t>
      </w:r>
    </w:p>
    <w:p>
      <w:pPr>
        <w:pStyle w:val="ListParagraph"/>
        <w:numPr>
          <w:ilvl w:val="0"/>
          <w:numId w:val="2"/>
        </w:numPr>
        <w:spacing w:after="80"/>
      </w:pPr>
      <w:r>
        <w:rPr>
          <w:rFonts w:ascii="Arial" w:cs="Arial" w:eastAsia="Arial" w:hAnsi="Arial"/>
          <w:b/>
          <w:bCs/>
          <w:sz w:val="22"/>
          <w:szCs w:val="22"/>
        </w:rPr>
        <w:t xml:space="preserve">Comprehensive RBAC model: </w:t>
      </w:r>
      <w:r>
        <w:rPr>
          <w:rFonts w:ascii="Arial" w:cs="Arial" w:eastAsia="Arial" w:hAnsi="Arial"/>
          <w:sz w:val="22"/>
          <w:szCs w:val="22"/>
        </w:rPr>
        <w:t xml:space="preserve">Role-based access control is implemented on both frontend (AuthContext, ProtectedRoute) and backend (rbac.js middleware) with AD security group mapping.</w:t>
      </w:r>
    </w:p>
    <w:p>
      <w:pPr>
        <w:pStyle w:val="ListParagraph"/>
        <w:numPr>
          <w:ilvl w:val="0"/>
          <w:numId w:val="2"/>
        </w:numPr>
        <w:spacing w:after="80"/>
      </w:pPr>
      <w:r>
        <w:rPr>
          <w:rFonts w:ascii="Arial" w:cs="Arial" w:eastAsia="Arial" w:hAnsi="Arial"/>
          <w:b/>
          <w:bCs/>
          <w:sz w:val="22"/>
          <w:szCs w:val="22"/>
        </w:rPr>
        <w:t xml:space="preserve">Parameterised SQL queries: </w:t>
      </w:r>
      <w:r>
        <w:rPr>
          <w:rFonts w:ascii="Arial" w:cs="Arial" w:eastAsia="Arial" w:hAnsi="Arial"/>
          <w:sz w:val="22"/>
          <w:szCs w:val="22"/>
        </w:rPr>
        <w:t xml:space="preserve">All database operations use parameterised queries via mssql, effectively preventing SQL injection attacks.</w:t>
      </w:r>
    </w:p>
    <w:p>
      <w:pPr>
        <w:pStyle w:val="ListParagraph"/>
        <w:numPr>
          <w:ilvl w:val="0"/>
          <w:numId w:val="2"/>
        </w:numPr>
        <w:spacing w:after="80"/>
      </w:pPr>
      <w:r>
        <w:rPr>
          <w:rFonts w:ascii="Arial" w:cs="Arial" w:eastAsia="Arial" w:hAnsi="Arial"/>
          <w:b/>
          <w:bCs/>
          <w:sz w:val="22"/>
          <w:szCs w:val="22"/>
        </w:rPr>
        <w:t xml:space="preserve">Document governance separation: </w:t>
      </w:r>
      <w:r>
        <w:rPr>
          <w:rFonts w:ascii="Arial" w:cs="Arial" w:eastAsia="Arial" w:hAnsi="Arial"/>
          <w:sz w:val="22"/>
          <w:szCs w:val="22"/>
        </w:rPr>
        <w:t xml:space="preserve">Sensitive documents (passports, driving licences) are segregated into a separate SharePoint library with DLP flags preventing sync to Alemba. This is excellent data governance.</w:t>
      </w:r>
    </w:p>
    <w:p>
      <w:pPr>
        <w:pStyle w:val="ListParagraph"/>
        <w:numPr>
          <w:ilvl w:val="0"/>
          <w:numId w:val="2"/>
        </w:numPr>
        <w:spacing w:after="80"/>
      </w:pPr>
      <w:r>
        <w:rPr>
          <w:rFonts w:ascii="Arial" w:cs="Arial" w:eastAsia="Arial" w:hAnsi="Arial"/>
          <w:b/>
          <w:bCs/>
          <w:sz w:val="22"/>
          <w:szCs w:val="22"/>
        </w:rPr>
        <w:t xml:space="preserve">Magic number file validation: </w:t>
      </w:r>
      <w:r>
        <w:rPr>
          <w:rFonts w:ascii="Arial" w:cs="Arial" w:eastAsia="Arial" w:hAnsi="Arial"/>
          <w:sz w:val="22"/>
          <w:szCs w:val="22"/>
        </w:rPr>
        <w:t xml:space="preserve">File uploads are validated using file signatures (magic numbers) rather than just MIME types, preventing file type spoofing attacks.</w:t>
      </w:r>
    </w:p>
    <w:p>
      <w:pPr>
        <w:pStyle w:val="ListParagraph"/>
        <w:numPr>
          <w:ilvl w:val="0"/>
          <w:numId w:val="2"/>
        </w:numPr>
        <w:spacing w:after="80"/>
      </w:pPr>
      <w:r>
        <w:rPr>
          <w:rFonts w:ascii="Arial" w:cs="Arial" w:eastAsia="Arial" w:hAnsi="Arial"/>
          <w:b/>
          <w:bCs/>
          <w:sz w:val="22"/>
          <w:szCs w:val="22"/>
        </w:rPr>
        <w:t xml:space="preserve">Comprehensive audit trail: </w:t>
      </w:r>
      <w:r>
        <w:rPr>
          <w:rFonts w:ascii="Arial" w:cs="Arial" w:eastAsia="Arial" w:hAnsi="Arial"/>
          <w:sz w:val="22"/>
          <w:szCs w:val="22"/>
        </w:rPr>
        <w:t xml:space="preserve">Every action is logged with user, IP address, timestamp, and action details. This supports NHS compliance requirements.</w:t>
      </w:r>
    </w:p>
    <w:p>
      <w:pPr>
        <w:pStyle w:val="ListParagraph"/>
        <w:numPr>
          <w:ilvl w:val="0"/>
          <w:numId w:val="2"/>
        </w:numPr>
        <w:spacing w:after="80"/>
      </w:pPr>
      <w:r>
        <w:rPr>
          <w:rFonts w:ascii="Arial" w:cs="Arial" w:eastAsia="Arial" w:hAnsi="Arial"/>
          <w:b/>
          <w:bCs/>
          <w:sz w:val="22"/>
          <w:szCs w:val="22"/>
        </w:rPr>
        <w:t xml:space="preserve">Security headers: </w:t>
      </w:r>
      <w:r>
        <w:rPr>
          <w:rFonts w:ascii="Arial" w:cs="Arial" w:eastAsia="Arial" w:hAnsi="Arial"/>
          <w:sz w:val="22"/>
          <w:szCs w:val="22"/>
        </w:rPr>
        <w:t xml:space="preserve">Helmet.js is properly configured with CSP, HSTS, and other security headers. Rate limiting is applied to API routes.</w:t>
      </w:r>
    </w:p>
    <w:p>
      <w:pPr>
        <w:pStyle w:val="ListParagraph"/>
        <w:numPr>
          <w:ilvl w:val="0"/>
          <w:numId w:val="2"/>
        </w:numPr>
        <w:spacing w:after="80"/>
      </w:pPr>
      <w:r>
        <w:rPr>
          <w:rFonts w:ascii="Arial" w:cs="Arial" w:eastAsia="Arial" w:hAnsi="Arial"/>
          <w:b/>
          <w:bCs/>
          <w:sz w:val="22"/>
          <w:szCs w:val="22"/>
        </w:rPr>
        <w:t xml:space="preserve">Duplicate vendor detection: </w:t>
      </w:r>
      <w:r>
        <w:rPr>
          <w:rFonts w:ascii="Arial" w:cs="Arial" w:eastAsia="Arial" w:hAnsi="Arial"/>
          <w:sz w:val="22"/>
          <w:szCs w:val="22"/>
        </w:rPr>
        <w:t xml:space="preserve">Both client-side fuzzy matching (Levenshtein distance) and server-side stored procedure checks for duplicate suppliers. This is a valuable business logic feature.</w:t>
      </w:r>
    </w:p>
    <w:p>
      <w:pPr>
        <w:pStyle w:val="ListParagraph"/>
        <w:numPr>
          <w:ilvl w:val="0"/>
          <w:numId w:val="2"/>
        </w:numPr>
        <w:spacing w:after="80"/>
      </w:pPr>
      <w:r>
        <w:rPr>
          <w:rFonts w:ascii="Arial" w:cs="Arial" w:eastAsia="Arial" w:hAnsi="Arial"/>
          <w:b/>
          <w:bCs/>
          <w:sz w:val="22"/>
          <w:szCs w:val="22"/>
        </w:rPr>
        <w:t xml:space="preserve">Thorough form validation: </w:t>
      </w:r>
      <w:r>
        <w:rPr>
          <w:rFonts w:ascii="Arial" w:cs="Arial" w:eastAsia="Arial" w:hAnsi="Arial"/>
          <w:sz w:val="22"/>
          <w:szCs w:val="22"/>
        </w:rPr>
        <w:t xml:space="preserve">Zod schemas provide type-safe validation on the frontend, complemented by express-validator on the backend. Financial field validators (sort code, IBAN, SWIFT, VAT) are particularly well done.</w:t>
      </w:r>
    </w:p>
    <w:p>
      <w:pPr>
        <w:pStyle w:val="ListParagraph"/>
        <w:numPr>
          <w:ilvl w:val="0"/>
          <w:numId w:val="2"/>
        </w:numPr>
        <w:spacing w:after="80"/>
      </w:pPr>
      <w:r>
        <w:rPr>
          <w:rFonts w:ascii="Arial" w:cs="Arial" w:eastAsia="Arial" w:hAnsi="Arial"/>
          <w:b/>
          <w:bCs/>
          <w:sz w:val="22"/>
          <w:szCs w:val="22"/>
        </w:rPr>
        <w:t xml:space="preserve">Excellent documentation: </w:t>
      </w:r>
      <w:r>
        <w:rPr>
          <w:rFonts w:ascii="Arial" w:cs="Arial" w:eastAsia="Arial" w:hAnsi="Arial"/>
          <w:sz w:val="22"/>
          <w:szCs w:val="22"/>
        </w:rPr>
        <w:t xml:space="preserve">The project includes deployment guides, user guides, CRN setup guides, Alemba integration docs, and a detailed roadmap. This is uncommon and highly commendable.</w:t>
      </w:r>
    </w:p>
    <w:p>
      <w:pPr>
        <w:pStyle w:val="ListParagraph"/>
        <w:numPr>
          <w:ilvl w:val="0"/>
          <w:numId w:val="2"/>
        </w:numPr>
        <w:spacing w:after="80"/>
      </w:pPr>
      <w:r>
        <w:rPr>
          <w:rFonts w:ascii="Arial" w:cs="Arial" w:eastAsia="Arial" w:hAnsi="Arial"/>
          <w:b/>
          <w:bCs/>
          <w:sz w:val="22"/>
          <w:szCs w:val="22"/>
        </w:rPr>
        <w:t xml:space="preserve">Environment-aware design: </w:t>
      </w:r>
      <w:r>
        <w:rPr>
          <w:rFonts w:ascii="Arial" w:cs="Arial" w:eastAsia="Arial" w:hAnsi="Arial"/>
          <w:sz w:val="22"/>
          <w:szCs w:val="22"/>
        </w:rPr>
        <w:t xml:space="preserve">Clean separation between development (localStorage + mock auth) and production (API + Azure AD) via the StorageProvider abstraction and environment variables.</w:t>
      </w:r>
    </w:p>
    <w:p>
      <w:pPr>
        <w:pStyle w:val="ListParagraph"/>
        <w:numPr>
          <w:ilvl w:val="0"/>
          <w:numId w:val="2"/>
        </w:numPr>
        <w:spacing w:after="80"/>
      </w:pPr>
      <w:r>
        <w:rPr>
          <w:rFonts w:ascii="Arial" w:cs="Arial" w:eastAsia="Arial" w:hAnsi="Arial"/>
          <w:b/>
          <w:bCs/>
          <w:sz w:val="22"/>
          <w:szCs w:val="22"/>
        </w:rPr>
        <w:t xml:space="preserve">Accessibility considerations: </w:t>
      </w:r>
      <w:r>
        <w:rPr>
          <w:rFonts w:ascii="Arial" w:cs="Arial" w:eastAsia="Arial" w:hAnsi="Arial"/>
          <w:sz w:val="22"/>
          <w:szCs w:val="22"/>
        </w:rPr>
        <w:t xml:space="preserve">Skip-to-content links, ARIA labels, error role alerts, and keyboard navigation support are present.</w:t>
      </w:r>
    </w:p>
    <w:p>
      <w:pPr>
        <w:pageBreakBefore/>
      </w:pPr>
      <w:r>
        <w:t xml:space="preserve"/>
      </w:r>
    </w:p>
    <w:p>
      <w:pPr>
        <w:pStyle w:val="Heading1"/>
      </w:pPr>
      <w:r>
        <w:rPr>
          <w:rFonts w:ascii="Arial" w:cs="Arial" w:eastAsia="Arial" w:hAnsi="Arial"/>
        </w:rPr>
        <w:t xml:space="preserve">3. Detailed Findings</w:t>
      </w:r>
    </w:p>
    <w:p>
      <w:pPr>
        <w:spacing w:after="120"/>
      </w:pPr>
      <w:r>
        <w:rPr>
          <w:rFonts w:ascii="Arial" w:cs="Arial" w:eastAsia="Arial" w:hAnsi="Arial"/>
          <w:sz w:val="22"/>
          <w:szCs w:val="22"/>
        </w:rPr>
        <w:t xml:space="preserve">The following table presents all 27 identified issues with their severity, category, description, and 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00"/>
        <w:gridCol w:w="3280"/>
        <w:gridCol w:w="3280"/>
      </w:tblGrid>
      <w:tr>
        <w:tc>
          <w:tcPr>
            <w:tcW w:type="dxa" w:w="7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28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Companies House API key hardcoded in frontend source code (companiesHouse.js line 2). The key 7ed689df-... is visible to anyone inspecting the browser bundle.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hardcoded key immediately. The backend proxy route (/api/companies-house/:crn) already exists and keeps the key server-side. Delete the searchCompany function that calls the API directly from the frontend and route all calls through the backend proxy.</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SEC-02</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csurf npm package used for CSRF protection has been deprecated since September 2022 due to vulnerabilities. It is no longer maintained and should not be used in new projects.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Replace csurf with a maintained alternative such as csrf-csrf, lusitania, or implement double-submit cookie pattern manually. The OWASP CSRF prevention cheat sheet provides guidance for Express.js applications.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details (sort code, account number, IBAN) are stored in the Zustand store which persists to localStorage in clear text. Anyone with physical or remote access to the browser can extract this sensitive financial data.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persist bank details to localStorage. Remove financial fields from the Zustand persist partialize configuration. These fields should only exist in memory during the active session and be submitted directly to the API, which stores them encrypted at rest in SQL Server.</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SEC-04</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Sensitive identity documents (passport photos, driving licence scans) are converted to base64 and stored in localStorage. This is a major data protection concern under UK GDPR and NHS data governance policies.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Store file references only (not base64 content) in memory. Upload files directly to the backend API which streams them to SharePoint. If offline persistence is required, use the browser's IndexedDB with encryption, and clear automatically after session timeout.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 IDs are generated using Math.random() which is not cryptographically secure and can produce collisions. In both frontend (helpers.js) and backend (submissionService.js), the same weak pattern is used.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crypto.randomUUID() in the browser and require('crypto').randomUUID() on Node.js 19+, or crypto.randomBytes(). Alternatively, implement a database sequence-based ID to guarantee uniqueness. Add a UNIQUE constraint check with retry logic.</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SEC-06</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ApiStorageProvider does not include CSRF tokens in requests. The backend requires CSRF tokens for POST/PUT/DELETE but the frontend never fetches or sends them.</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Add a CSRF token fetch on application initialisation from /api/csrf-token. Include the token in all state-changing requests via a custom header (e.g., X-CSRF-Token). Consider implementing the synchroniser token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/health endpoint is unauthenticated and exposes internal infrastructure details including database connectivity status, SharePoint connectivity, and environment name. This is valuable reconnaissance information for attackers.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authentication to the health endpoint, or create two versions: a public one returning only up/down status, and a detailed internal one behind authentication. Never expose dependency names or connection states publicly.</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SEC-08</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review endpoint POST /api/reviews/:stage/:id does not validate that the user has the correct role for the specific stage. The requireRole middleware is defined but not actually applied to this route.</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Add requireRole middleware to the review routes. For example: router.post('/reviews/pbp/:id', requireAuth, requireRole('pbp'), ...). Map each stage to its required role and enforce it at the route level.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serialisation stores the entire user object including groups. If the session store is compromised, role escalation is trivial. The session also has no server-side invalidation mechanism.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only the user OID in the session. Look up groups from Azure AD on each request or use a server-side cache with short TTL. Implement session invalidation on password change and provide an admin endpoint to revoke sessions.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SEC-10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document deletion endpoint DELETE /api/documents/:documentId has no ownership or role check. Any authenticated user can delete any document by guessing or enumerating document IDs.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Add canAccessSubmission middleware to the delete route. Verify the document belongs to a submission the user has access to before allowing deletion. Consider soft-deletes with audit trail instead of hard deletes.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frontend directly reads localStorage for cross-submission data (rejection checks, work queues) even when running in production mode. The StorageProvider abstraction is bypassed in multiple places (App.jsx, formStore.js, helpers.js).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strict use of the StorageProvider abstraction. Remove all direct localStorage access from components and utilities. In production, all data access must go through the API to ensure RBAC enforcement.</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SEC-11</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express-session uses the default MemoryStore which leaks memory in production, does not scale across multiple instances, and loses all sessions on server restart.</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Use a production-grade session store such as connect-redis or connect-mssql (since you already have SQL Server). This also enables horizontal scaling behind a load balancer.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frontend sanitizeInput function (helpers.js) uses a simple regex to strip HTML tags. This is insufficient protection against XSS as it can be bypassed with malformed tags or event handlers.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 dedicated sanitisation library such as DOMPurify on the frontend and express-validator's escape() on the backend. Never rely on regex-based HTML stripping for security.</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SEC-13</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Audit log writes are fire-and-forget with errors silently caught. In a compliance-critical NHS application, lost audit records could be a governance failure.</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Implement a write-ahead log or message queue for audit entries. If the primary write fails, buffer entries and retry. Alert operations if audit logging is consistently failing. Consider it a system health issue.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name validation regex /^[a-zA-Z\s\-']+$/ excludes legitimate names with accents, umlauts, and non-Latin characters (e.g., Muller, Nguyen with diacritics, O'Brien). This could prevent valid NHS staff from submitting forms.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 Unicode-aware pattern such as /^[\p{L}\s\-']+$/u which allows all Unicode letters. Test with a diverse set of international names.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VAL-02</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NHS email validation only checks for @nhs.net but Barts Health staff may use @bartshealth.nhs.uk or other trust-specific domains. This could lock out legitimate users.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Expand the email validation to accept a configurable list of allowed domains: @nhs.net, @bartshealth.nhs.uk, and any other trust domains. Store this list in environment configuration.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duplicate vendor check stored procedure uses LIKE '%' + @NormalizedName + '%' which is vulnerable to SQL wildcard injection. A name containing % or _ characters would produce incorrect matches.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 SQL wildcard characters (%, _, [) in the input before passing to the LIKE clause. Alternatively, use full-text search indexes for better matching performance and accuracy.</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PERF-01</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entire form state including all section data, CRN cache, review comments, and file metadata is persisted to localStorage on every field change. This causes noticeable lag on slower devices.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Debounce persistence writes (e.g., 2-second delay after last change). Only persist changed sections rather than the full state. Consider using IndexedDB for larger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A8A0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notification service contains hardcoded email addresses (e.g., peter.persaud@nhs.net). Staff changes would require code changes and redeployment.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all recipient email addresses to environment configuration or a database lookup table. Use AD security groups for team notifications rather than individual addresses.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FP-01</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Future-Proofing</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 automated test suite exists. For a critical NHS application handling sensitive financial and identity data, this is a significant risk for regression during future changes.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Implement at minimum: unit tests for validation schemas (Zod), integration tests for API routes with supertest, and end-to-end tests for the submission workflow with Playwright or Cypress.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FP-02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Future-Proofing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database migration tool is in place. Schema changes require manual SQL execution which is error-prone and not auditable.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 a migration tool such as knex.js migrations or Flyway. Version-control all schema changes and apply them automatically during deployment.</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FP-03</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Future-Proofing</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application has no internationalisation support. As Barts Health serves a diverse London population, Welsh language requirements or accessibility in other languages may be needed.</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Use react-i18next or a similar library. Externalise all user-facing strings into translation files from the start, even if only English is needed now.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FP-04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Future-Proofing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CI/CD pipeline configuration is included. Manual builds and deployments increase the risk of human error and make it harder to enforce quality gates.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GitHub Actions workflows for: linting, testing, building, and deploying. Include security scanning with npm audit and dependency checks.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ARC-03</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Error boundaries are not implemented in the React application. An unhandled error in any component will crash the entire application.</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Add React Error Boundaries around major sections (form, review pages, navigation). Display a user-friendly fallback UI with a retry option and log errors to the backend.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PnP/SP library used for SharePoint (@pnp/sp v3) uses the older ACS app-only authentication model. Microsoft is deprecating ACS in favour of Azure AD app-only with certificate-based auth.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migration to @pnp/sp v4 with MSAL and certificate-based authentication. This will be required when Microsoft fully retires ACS.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UX-01</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 loading skeleton screens are used. During API calls, the UI shows a basic spinner which can feel unresponsive on slower NHS network connections.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Add skeleton loading states for form sections and review pages. This provides visual feedback that content is loading and reduces perceived wait 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Experience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7-section form has no save-and-return functionality for the production API mode. If a user closes the browser mid-form, all progress is lost.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server-side draft saving. Auto-save form state to the API at intervals and allow users to resume from where they left off via a unique link or their dashboard.</w:t>
            </w:r>
          </w:p>
        </w:tc>
      </w:tr>
    </w:tbl>
    <w:p>
      <w:pPr>
        <w:pageBreakBefore/>
      </w:pPr>
      <w:r>
        <w:t xml:space="preserve"/>
      </w:r>
    </w:p>
    <w:p>
      <w:pPr>
        <w:pStyle w:val="Heading1"/>
      </w:pPr>
      <w:r>
        <w:rPr>
          <w:rFonts w:ascii="Arial" w:cs="Arial" w:eastAsia="Arial" w:hAnsi="Arial"/>
        </w:rPr>
        <w:t xml:space="preserve">4. Critical Items: Deep Dive</w:t>
      </w:r>
    </w:p>
    <w:p>
      <w:pPr>
        <w:pStyle w:val="Heading2"/>
      </w:pPr>
      <w:r>
        <w:rPr>
          <w:rFonts w:ascii="Arial" w:cs="Arial" w:eastAsia="Arial" w:hAnsi="Arial"/>
        </w:rPr>
        <w:t xml:space="preserve">4.1 SEC-01: Hardcoded API Key in Frontend</w:t>
      </w:r>
    </w:p>
    <w:p>
      <w:pPr>
        <w:spacing w:after="120"/>
      </w:pPr>
      <w:r>
        <w:rPr>
          <w:rFonts w:ascii="Arial" w:cs="Arial" w:eastAsia="Arial" w:hAnsi="Arial"/>
          <w:sz w:val="22"/>
          <w:szCs w:val="22"/>
        </w:rPr>
        <w:t xml:space="preserve">Location: src/utils/companiesHouse.js, line 2</w:t>
      </w:r>
    </w:p>
    <w:p>
      <w:pPr>
        <w:spacing w:after="120"/>
      </w:pPr>
      <w:r>
        <w:rPr>
          <w:rFonts w:ascii="Arial" w:cs="Arial" w:eastAsia="Arial" w:hAnsi="Arial"/>
          <w:sz w:val="22"/>
          <w:szCs w:val="22"/>
        </w:rPr>
        <w:t xml:space="preserve">The Companies House API key (7ed689df-a9a5-456b-a5dd-b160465be531) is embedded directly in the frontend source code. When the application is built for production, this key will be included in the JavaScript bundle served to every user's browser. Anyone can extract it using browser developer tools. This key grants access to the Companies House API under the Trust's account and could be abused for scraping or rate-limit exhaustion, potentially causing service disruption during legitimate CRN verifications.</w:t>
      </w:r>
    </w:p>
    <w:p>
      <w:pPr>
        <w:spacing w:after="120"/>
      </w:pPr>
      <w:r>
        <w:rPr>
          <w:rFonts w:ascii="Arial" w:cs="Arial" w:eastAsia="Arial" w:hAnsi="Arial"/>
          <w:b/>
          <w:bCs/>
          <w:sz w:val="22"/>
          <w:szCs w:val="22"/>
        </w:rPr>
        <w:t xml:space="preserve">Immediate Action: </w:t>
      </w:r>
      <w:r>
        <w:rPr>
          <w:rFonts w:ascii="Arial" w:cs="Arial" w:eastAsia="Arial" w:hAnsi="Arial"/>
          <w:sz w:val="22"/>
          <w:szCs w:val="22"/>
        </w:rPr>
        <w:t xml:space="preserve">Delete the COMPANIES_HOUSE_API_KEY constant and the searchCompany function from companiesHouse.js. The backend already has a properly secured proxy route at /api/companies-house/:crn that keeps the key server-side. Ensure all CRN lookups route through getCompanyDetails which uses this proxy. Rotate the compromised API key through the Companies House developer portal.</w:t>
      </w:r>
    </w:p>
    <w:p>
      <w:pPr>
        <w:pStyle w:val="Heading2"/>
      </w:pPr>
      <w:r>
        <w:rPr>
          <w:rFonts w:ascii="Arial" w:cs="Arial" w:eastAsia="Arial" w:hAnsi="Arial"/>
        </w:rPr>
        <w:t xml:space="preserve">4.2 SEC-03 &amp; SEC-04: Sensitive Data in localStorage</w:t>
      </w:r>
    </w:p>
    <w:p>
      <w:pPr>
        <w:spacing w:after="120"/>
      </w:pPr>
      <w:r>
        <w:rPr>
          <w:rFonts w:ascii="Arial" w:cs="Arial" w:eastAsia="Arial" w:hAnsi="Arial"/>
          <w:sz w:val="22"/>
          <w:szCs w:val="22"/>
        </w:rPr>
        <w:t xml:space="preserve">The Zustand store persists form data to localStorage, which includes bank sort codes, account numbers, IBANs, and base64-encoded identity documents. localStorage has no encryption, no expiry, and persists indefinitely until explicitly cleared. On shared NHS workstations, subsequent users could access this data. Malicious browser extensions can also read localStorage. Under the UK Data Protection Act 2018 and NHS Digital's Data Security and Protection Toolkit (DSPT), storing this data client-side without encryption is non-compliant.</w:t>
      </w:r>
    </w:p>
    <w:p>
      <w:pPr>
        <w:spacing w:after="120"/>
      </w:pPr>
      <w:r>
        <w:rPr>
          <w:rFonts w:ascii="Arial" w:cs="Arial" w:eastAsia="Arial" w:hAnsi="Arial"/>
          <w:b/>
          <w:bCs/>
          <w:sz w:val="22"/>
          <w:szCs w:val="22"/>
        </w:rPr>
        <w:t xml:space="preserve">Immediate Action: </w:t>
      </w:r>
      <w:r>
        <w:rPr>
          <w:rFonts w:ascii="Arial" w:cs="Arial" w:eastAsia="Arial" w:hAnsi="Arial"/>
          <w:sz w:val="22"/>
          <w:szCs w:val="22"/>
        </w:rPr>
        <w:t xml:space="preserve">Modify the formStore.js persist configuration to exclude all sensitive fields (bank details, uploaded file base64 data). Implement a two-phase submission: non-sensitive data can be persisted for save-and-resume, while sensitive data should only exist in React state (memory) and be submitted directly to the API.</w:t>
      </w:r>
    </w:p>
    <w:p>
      <w:pPr>
        <w:pStyle w:val="Heading2"/>
      </w:pPr>
      <w:r>
        <w:rPr>
          <w:rFonts w:ascii="Arial" w:cs="Arial" w:eastAsia="Arial" w:hAnsi="Arial"/>
        </w:rPr>
        <w:t xml:space="preserve">4.3 SEC-02: Deprecated CSRF Library</w:t>
      </w:r>
    </w:p>
    <w:p>
      <w:pPr>
        <w:spacing w:after="120"/>
      </w:pPr>
      <w:r>
        <w:rPr>
          <w:rFonts w:ascii="Arial" w:cs="Arial" w:eastAsia="Arial" w:hAnsi="Arial"/>
          <w:sz w:val="22"/>
          <w:szCs w:val="22"/>
        </w:rPr>
        <w:t xml:space="preserve">The csurf package was deprecated in September 2022 (npm advisory) due to design flaws that could allow token bypass in certain configurations. While the current implementation uses cookie-based tokens with httpOnly and sameSite flags which mitigates some risks, relying on an unmaintained security-critical package in an NHS application is unacceptable. No further security patches will be released.</w:t>
      </w:r>
    </w:p>
    <w:p>
      <w:pPr>
        <w:spacing w:after="120"/>
      </w:pPr>
      <w:r>
        <w:rPr>
          <w:rFonts w:ascii="Arial" w:cs="Arial" w:eastAsia="Arial" w:hAnsi="Arial"/>
          <w:b/>
          <w:bCs/>
          <w:sz w:val="22"/>
          <w:szCs w:val="22"/>
        </w:rPr>
        <w:t xml:space="preserve">Immediate Action: </w:t>
      </w:r>
      <w:r>
        <w:rPr>
          <w:rFonts w:ascii="Arial" w:cs="Arial" w:eastAsia="Arial" w:hAnsi="Arial"/>
          <w:sz w:val="22"/>
          <w:szCs w:val="22"/>
        </w:rPr>
        <w:t xml:space="preserve">Replace csurf with csrf-csrf (npm: csrf-csrf) which provides a maintained double-submit cookie implementation compatible with Express.js. The migration requires minimal code changes as the API surface is similar.</w:t>
      </w:r>
    </w:p>
    <w:p>
      <w:pPr>
        <w:pageBreakBefore/>
      </w:pPr>
      <w:r>
        <w:t xml:space="preserve"/>
      </w:r>
    </w:p>
    <w:p>
      <w:pPr>
        <w:pStyle w:val="Heading1"/>
      </w:pPr>
      <w:r>
        <w:rPr>
          <w:rFonts w:ascii="Arial" w:cs="Arial" w:eastAsia="Arial" w:hAnsi="Arial"/>
        </w:rPr>
        <w:t xml:space="preserve">5. Architecture Recommendations for Future-Proofing</w:t>
      </w:r>
    </w:p>
    <w:p>
      <w:pPr>
        <w:pStyle w:val="Heading2"/>
      </w:pPr>
      <w:r>
        <w:rPr>
          <w:rFonts w:ascii="Arial" w:cs="Arial" w:eastAsia="Arial" w:hAnsi="Arial"/>
        </w:rPr>
        <w:t xml:space="preserve">5.1 Implement a Proper Testing Strategy</w:t>
      </w:r>
    </w:p>
    <w:p>
      <w:pPr>
        <w:spacing w:after="120"/>
      </w:pPr>
      <w:r>
        <w:rPr>
          <w:rFonts w:ascii="Arial" w:cs="Arial" w:eastAsia="Arial" w:hAnsi="Arial"/>
          <w:sz w:val="22"/>
          <w:szCs w:val="22"/>
        </w:rPr>
        <w:t xml:space="preserve">For an application handling NHS supplier data with financial and identity information, a comprehensive testing strategy is essential. The recommended approach is a testing pyramid with unit tests for all Zod validation schemas and utility functions using Vitest (already compatible with the Vite build tooling), integration tests for all API routes using supertest with a test database, and end-to-end tests for the complete submission and review workflow using Playwright.</w:t>
      </w:r>
    </w:p>
    <w:p>
      <w:pPr>
        <w:spacing w:after="120"/>
      </w:pPr>
      <w:r>
        <w:rPr>
          <w:rFonts w:ascii="Arial" w:cs="Arial" w:eastAsia="Arial" w:hAnsi="Arial"/>
          <w:sz w:val="22"/>
          <w:szCs w:val="22"/>
        </w:rPr>
        <w:t xml:space="preserve">Target a minimum of 80% code coverage on business logic (validation, RBAC, workflow transitions) before production deployment. Add tests to a CI/CD pipeline to prevent regressions.</w:t>
      </w:r>
    </w:p>
    <w:p>
      <w:pPr>
        <w:pStyle w:val="Heading2"/>
      </w:pPr>
      <w:r>
        <w:rPr>
          <w:rFonts w:ascii="Arial" w:cs="Arial" w:eastAsia="Arial" w:hAnsi="Arial"/>
        </w:rPr>
        <w:t xml:space="preserve">5.2 Database Migration Strategy</w:t>
      </w:r>
    </w:p>
    <w:p>
      <w:pPr>
        <w:spacing w:after="120"/>
      </w:pPr>
      <w:r>
        <w:rPr>
          <w:rFonts w:ascii="Arial" w:cs="Arial" w:eastAsia="Arial" w:hAnsi="Arial"/>
          <w:sz w:val="22"/>
          <w:szCs w:val="22"/>
        </w:rPr>
        <w:t xml:space="preserve">The current schema.sql file represents a point-in-time snapshot. As the application evolves, schema changes must be versioned and applied reliably. Adopt knex.js (already Node.js compatible) for migration management. Each migration should be a timestamped file that can be run forward or rolled back, and migrations should be applied automatically as part of the deployment pipeline.</w:t>
      </w:r>
    </w:p>
    <w:p>
      <w:pPr>
        <w:pStyle w:val="Heading2"/>
      </w:pPr>
      <w:r>
        <w:rPr>
          <w:rFonts w:ascii="Arial" w:cs="Arial" w:eastAsia="Arial" w:hAnsi="Arial"/>
        </w:rPr>
        <w:t xml:space="preserve">5.3 API Versioning</w:t>
      </w:r>
    </w:p>
    <w:p>
      <w:pPr>
        <w:spacing w:after="120"/>
      </w:pPr>
      <w:r>
        <w:rPr>
          <w:rFonts w:ascii="Arial" w:cs="Arial" w:eastAsia="Arial" w:hAnsi="Arial"/>
          <w:sz w:val="22"/>
          <w:szCs w:val="22"/>
        </w:rPr>
        <w:t xml:space="preserve">The API currently has no versioning scheme. As the application grows and external systems integrate with it, breaking changes will become costly. Introduce URL-based versioning (e.g., /api/v1/submissions) from the start. This allows new versions to coexist with old ones during transition periods.</w:t>
      </w:r>
    </w:p>
    <w:p>
      <w:pPr>
        <w:pStyle w:val="Heading2"/>
      </w:pPr>
      <w:r>
        <w:rPr>
          <w:rFonts w:ascii="Arial" w:cs="Arial" w:eastAsia="Arial" w:hAnsi="Arial"/>
        </w:rPr>
        <w:t xml:space="preserve">5.4 Monitoring and Observability</w:t>
      </w:r>
    </w:p>
    <w:p>
      <w:pPr>
        <w:spacing w:after="120"/>
      </w:pPr>
      <w:r>
        <w:rPr>
          <w:rFonts w:ascii="Arial" w:cs="Arial" w:eastAsia="Arial" w:hAnsi="Arial"/>
          <w:sz w:val="22"/>
          <w:szCs w:val="22"/>
        </w:rPr>
        <w:t xml:space="preserve">Winston logging is a good start, but production systems need structured observability. Consider adding Application Insights (if deploying to Azure) for application performance monitoring, health check dashboards for database, SharePoint, and API dependencies, alerting on error rate spikes and audit log failures, and correlation IDs on all requests to trace issues across the full stack.</w:t>
      </w:r>
    </w:p>
    <w:p>
      <w:pPr>
        <w:pStyle w:val="Heading2"/>
      </w:pPr>
      <w:r>
        <w:rPr>
          <w:rFonts w:ascii="Arial" w:cs="Arial" w:eastAsia="Arial" w:hAnsi="Arial"/>
        </w:rPr>
        <w:t xml:space="preserve">5.5 Horizontal Scaling Readiness</w:t>
      </w:r>
    </w:p>
    <w:p>
      <w:pPr>
        <w:spacing w:after="120"/>
      </w:pPr>
      <w:r>
        <w:rPr>
          <w:rFonts w:ascii="Arial" w:cs="Arial" w:eastAsia="Arial" w:hAnsi="Arial"/>
          <w:sz w:val="22"/>
          <w:szCs w:val="22"/>
        </w:rPr>
        <w:t xml:space="preserve">The current architecture uses in-memory session storage which prevents horizontal scaling. By moving to Redis or SQL-based session storage, the application can be deployed behind a load balancer with multiple instances. This is important for high-availability requirements during peak periods such as year-end supplier onboarding surges.</w:t>
      </w:r>
    </w:p>
    <w:p>
      <w:pPr>
        <w:pageBreakBefore/>
      </w:pPr>
      <w:r>
        <w:t xml:space="preserve"/>
      </w:r>
    </w:p>
    <w:p>
      <w:pPr>
        <w:pStyle w:val="Heading1"/>
      </w:pPr>
      <w:r>
        <w:rPr>
          <w:rFonts w:ascii="Arial" w:cs="Arial" w:eastAsia="Arial" w:hAnsi="Arial"/>
        </w:rPr>
        <w:t xml:space="preserve">6. NHS-Specific Compliance Considerations</w:t>
      </w:r>
    </w:p>
    <w:p>
      <w:pPr>
        <w:spacing w:after="120"/>
      </w:pPr>
      <w:r>
        <w:rPr>
          <w:rFonts w:ascii="Arial" w:cs="Arial" w:eastAsia="Arial" w:hAnsi="Arial"/>
          <w:sz w:val="22"/>
          <w:szCs w:val="22"/>
        </w:rPr>
        <w:t xml:space="preserve">As this application will operate within the Barts Health NHS Trust infrastructure and handle sensitive supplier, financial, and identity data, the following NHS-specific compliance requirements should be verified:</w:t>
      </w:r>
    </w:p>
    <w:p>
      <w:pPr>
        <w:pStyle w:val="ListParagraph"/>
        <w:numPr>
          <w:ilvl w:val="0"/>
          <w:numId w:val="2"/>
        </w:numPr>
        <w:spacing w:after="80"/>
      </w:pPr>
      <w:r>
        <w:rPr>
          <w:rFonts w:ascii="Arial" w:cs="Arial" w:eastAsia="Arial" w:hAnsi="Arial"/>
          <w:b/>
          <w:bCs/>
          <w:sz w:val="22"/>
          <w:szCs w:val="22"/>
        </w:rPr>
        <w:t xml:space="preserve">DSPT Compliance: </w:t>
      </w:r>
      <w:r>
        <w:rPr>
          <w:rFonts w:ascii="Arial" w:cs="Arial" w:eastAsia="Arial" w:hAnsi="Arial"/>
          <w:sz w:val="22"/>
          <w:szCs w:val="22"/>
        </w:rPr>
        <w:t xml:space="preserve">Ensure the application meets all relevant assertions in the Data Security and Protection Toolkit, particularly around data-at-rest encryption (SQL Server TDE), data-in-transit encryption (TLS 1.2+), and access logging.</w:t>
      </w:r>
    </w:p>
    <w:p>
      <w:pPr>
        <w:pStyle w:val="ListParagraph"/>
        <w:numPr>
          <w:ilvl w:val="0"/>
          <w:numId w:val="2"/>
        </w:numPr>
        <w:spacing w:after="80"/>
      </w:pPr>
      <w:r>
        <w:rPr>
          <w:rFonts w:ascii="Arial" w:cs="Arial" w:eastAsia="Arial" w:hAnsi="Arial"/>
          <w:b/>
          <w:bCs/>
          <w:sz w:val="22"/>
          <w:szCs w:val="22"/>
        </w:rPr>
        <w:t xml:space="preserve">DPIA: </w:t>
      </w:r>
      <w:r>
        <w:rPr>
          <w:rFonts w:ascii="Arial" w:cs="Arial" w:eastAsia="Arial" w:hAnsi="Arial"/>
          <w:sz w:val="22"/>
          <w:szCs w:val="22"/>
        </w:rPr>
        <w:t xml:space="preserve">A Data Protection Impact Assessment should be completed given the application processes identity documents and financial data. Consult the Trust's Information Governance team.</w:t>
      </w:r>
    </w:p>
    <w:p>
      <w:pPr>
        <w:pStyle w:val="ListParagraph"/>
        <w:numPr>
          <w:ilvl w:val="0"/>
          <w:numId w:val="2"/>
        </w:numPr>
        <w:spacing w:after="80"/>
      </w:pPr>
      <w:r>
        <w:rPr>
          <w:rFonts w:ascii="Arial" w:cs="Arial" w:eastAsia="Arial" w:hAnsi="Arial"/>
          <w:b/>
          <w:bCs/>
          <w:sz w:val="22"/>
          <w:szCs w:val="22"/>
        </w:rPr>
        <w:t xml:space="preserve">Information Asset Register: </w:t>
      </w:r>
      <w:r>
        <w:rPr>
          <w:rFonts w:ascii="Arial" w:cs="Arial" w:eastAsia="Arial" w:hAnsi="Arial"/>
          <w:sz w:val="22"/>
          <w:szCs w:val="22"/>
        </w:rPr>
        <w:t xml:space="preserve">Register this application and its data stores (SQL Server, SharePoint libraries) on the Trust's Information Asset Register with an assigned Information Asset Owner.</w:t>
      </w:r>
    </w:p>
    <w:p>
      <w:pPr>
        <w:pStyle w:val="ListParagraph"/>
        <w:numPr>
          <w:ilvl w:val="0"/>
          <w:numId w:val="2"/>
        </w:numPr>
        <w:spacing w:after="80"/>
      </w:pPr>
      <w:r>
        <w:rPr>
          <w:rFonts w:ascii="Arial" w:cs="Arial" w:eastAsia="Arial" w:hAnsi="Arial"/>
          <w:b/>
          <w:bCs/>
          <w:sz w:val="22"/>
          <w:szCs w:val="22"/>
        </w:rPr>
        <w:t xml:space="preserve">Penetration Testing: </w:t>
      </w:r>
      <w:r>
        <w:rPr>
          <w:rFonts w:ascii="Arial" w:cs="Arial" w:eastAsia="Arial" w:hAnsi="Arial"/>
          <w:sz w:val="22"/>
          <w:szCs w:val="22"/>
        </w:rPr>
        <w:t xml:space="preserve">Commission a penetration test through the Trust's approved supplier before production deployment. The issues identified in this report should be remediated first.</w:t>
      </w:r>
    </w:p>
    <w:p>
      <w:pPr>
        <w:pStyle w:val="ListParagraph"/>
        <w:numPr>
          <w:ilvl w:val="0"/>
          <w:numId w:val="2"/>
        </w:numPr>
        <w:spacing w:after="80"/>
      </w:pPr>
      <w:r>
        <w:rPr>
          <w:rFonts w:ascii="Arial" w:cs="Arial" w:eastAsia="Arial" w:hAnsi="Arial"/>
          <w:b/>
          <w:bCs/>
          <w:sz w:val="22"/>
          <w:szCs w:val="22"/>
        </w:rPr>
        <w:t xml:space="preserve">Records Retention: </w:t>
      </w:r>
      <w:r>
        <w:rPr>
          <w:rFonts w:ascii="Arial" w:cs="Arial" w:eastAsia="Arial" w:hAnsi="Arial"/>
          <w:sz w:val="22"/>
          <w:szCs w:val="22"/>
        </w:rPr>
        <w:t xml:space="preserve">Define a retention policy for supplier setup records, audit trails, and uploaded documents in line with the NHS Records Management Code of Practice. Implement automated archival or deletion after the retention period.</w:t>
      </w:r>
    </w:p>
    <w:p>
      <w:pPr>
        <w:pStyle w:val="ListParagraph"/>
        <w:numPr>
          <w:ilvl w:val="0"/>
          <w:numId w:val="2"/>
        </w:numPr>
        <w:spacing w:after="80"/>
      </w:pPr>
      <w:r>
        <w:rPr>
          <w:rFonts w:ascii="Arial" w:cs="Arial" w:eastAsia="Arial" w:hAnsi="Arial"/>
          <w:b/>
          <w:bCs/>
          <w:sz w:val="22"/>
          <w:szCs w:val="22"/>
        </w:rPr>
        <w:t xml:space="preserve">Business Continuity: </w:t>
      </w:r>
      <w:r>
        <w:rPr>
          <w:rFonts w:ascii="Arial" w:cs="Arial" w:eastAsia="Arial" w:hAnsi="Arial"/>
          <w:sz w:val="22"/>
          <w:szCs w:val="22"/>
        </w:rPr>
        <w:t xml:space="preserve">Document a business continuity plan covering database backup/restore procedures, SharePoint recovery, and fallback to paper-based forms during outages.</w:t>
      </w:r>
    </w:p>
    <w:p>
      <w:pPr>
        <w:pageBreakBefore/>
      </w:pPr>
      <w:r>
        <w:t xml:space="preserve"/>
      </w:r>
    </w:p>
    <w:p>
      <w:pPr>
        <w:pStyle w:val="Heading1"/>
      </w:pPr>
      <w:r>
        <w:rPr>
          <w:rFonts w:ascii="Arial" w:cs="Arial" w:eastAsia="Arial" w:hAnsi="Arial"/>
        </w:rPr>
        <w:t xml:space="preserve">7. Prioritised Action Plan</w:t>
      </w:r>
    </w:p>
    <w:p>
      <w:pPr>
        <w:spacing w:after="120"/>
      </w:pPr>
      <w:r>
        <w:rPr>
          <w:rFonts w:ascii="Arial" w:cs="Arial" w:eastAsia="Arial" w:hAnsi="Arial"/>
          <w:sz w:val="22"/>
          <w:szCs w:val="22"/>
        </w:rPr>
        <w:t xml:space="preserve">The following phased plan provides a structured approach to addressing all findings:</w:t>
      </w:r>
    </w:p>
    <w:p>
      <w:pPr>
        <w:pStyle w:val="Heading2"/>
      </w:pPr>
      <w:r>
        <w:rPr>
          <w:rFonts w:ascii="Arial" w:cs="Arial" w:eastAsia="Arial" w:hAnsi="Arial"/>
        </w:rPr>
        <w:t xml:space="preserve">7.1 Phase 1: Pre-Production (Immediate - 1 to 2 Weeks)</w:t>
      </w:r>
    </w:p>
    <w:p>
      <w:pPr>
        <w:pStyle w:val="ListParagraph"/>
        <w:numPr>
          <w:ilvl w:val="0"/>
          <w:numId w:val="3"/>
        </w:numPr>
        <w:spacing w:after="80"/>
      </w:pPr>
      <w:r>
        <w:rPr>
          <w:rFonts w:ascii="Arial" w:cs="Arial" w:eastAsia="Arial" w:hAnsi="Arial"/>
          <w:sz w:val="22"/>
          <w:szCs w:val="22"/>
        </w:rPr>
        <w:t xml:space="preserve">Remove hardcoded Companies House API key and rotate the compromised key (SEC-01)</w:t>
      </w:r>
    </w:p>
    <w:p>
      <w:pPr>
        <w:pStyle w:val="ListParagraph"/>
        <w:numPr>
          <w:ilvl w:val="0"/>
          <w:numId w:val="3"/>
        </w:numPr>
        <w:spacing w:after="80"/>
      </w:pPr>
      <w:r>
        <w:rPr>
          <w:rFonts w:ascii="Arial" w:cs="Arial" w:eastAsia="Arial" w:hAnsi="Arial"/>
          <w:sz w:val="22"/>
          <w:szCs w:val="22"/>
        </w:rPr>
        <w:t xml:space="preserve">Remove sensitive data from localStorage persistence (SEC-03, SEC-04)</w:t>
      </w:r>
    </w:p>
    <w:p>
      <w:pPr>
        <w:pStyle w:val="ListParagraph"/>
        <w:numPr>
          <w:ilvl w:val="0"/>
          <w:numId w:val="3"/>
        </w:numPr>
        <w:spacing w:after="80"/>
      </w:pPr>
      <w:r>
        <w:rPr>
          <w:rFonts w:ascii="Arial" w:cs="Arial" w:eastAsia="Arial" w:hAnsi="Arial"/>
          <w:sz w:val="22"/>
          <w:szCs w:val="22"/>
        </w:rPr>
        <w:t xml:space="preserve">Replace csurf with maintained CSRF library (SEC-02)</w:t>
      </w:r>
    </w:p>
    <w:p>
      <w:pPr>
        <w:pStyle w:val="ListParagraph"/>
        <w:numPr>
          <w:ilvl w:val="0"/>
          <w:numId w:val="3"/>
        </w:numPr>
        <w:spacing w:after="80"/>
      </w:pPr>
      <w:r>
        <w:rPr>
          <w:rFonts w:ascii="Arial" w:cs="Arial" w:eastAsia="Arial" w:hAnsi="Arial"/>
          <w:sz w:val="22"/>
          <w:szCs w:val="22"/>
        </w:rPr>
        <w:t xml:space="preserve">Fix submission ID generation to use crypto-safe methods (SEC-05)</w:t>
      </w:r>
    </w:p>
    <w:p>
      <w:pPr>
        <w:pStyle w:val="ListParagraph"/>
        <w:numPr>
          <w:ilvl w:val="0"/>
          <w:numId w:val="3"/>
        </w:numPr>
        <w:spacing w:after="80"/>
      </w:pPr>
      <w:r>
        <w:rPr>
          <w:rFonts w:ascii="Arial" w:cs="Arial" w:eastAsia="Arial" w:hAnsi="Arial"/>
          <w:sz w:val="22"/>
          <w:szCs w:val="22"/>
        </w:rPr>
        <w:t xml:space="preserve">Add CSRF token handling to frontend API calls (SEC-06)</w:t>
      </w:r>
    </w:p>
    <w:p>
      <w:pPr>
        <w:pStyle w:val="ListParagraph"/>
        <w:numPr>
          <w:ilvl w:val="0"/>
          <w:numId w:val="3"/>
        </w:numPr>
        <w:spacing w:after="80"/>
      </w:pPr>
      <w:r>
        <w:rPr>
          <w:rFonts w:ascii="Arial" w:cs="Arial" w:eastAsia="Arial" w:hAnsi="Arial"/>
          <w:sz w:val="22"/>
          <w:szCs w:val="22"/>
        </w:rPr>
        <w:t xml:space="preserve">Add role enforcement to review endpoints (SEC-08)</w:t>
      </w:r>
    </w:p>
    <w:p>
      <w:pPr>
        <w:pStyle w:val="ListParagraph"/>
        <w:numPr>
          <w:ilvl w:val="0"/>
          <w:numId w:val="3"/>
        </w:numPr>
        <w:spacing w:after="80"/>
      </w:pPr>
      <w:r>
        <w:rPr>
          <w:rFonts w:ascii="Arial" w:cs="Arial" w:eastAsia="Arial" w:hAnsi="Arial"/>
          <w:sz w:val="22"/>
          <w:szCs w:val="22"/>
        </w:rPr>
        <w:t xml:space="preserve">Secure the health endpoint (SEC-07)</w:t>
      </w:r>
    </w:p>
    <w:p>
      <w:pPr>
        <w:pStyle w:val="ListParagraph"/>
        <w:numPr>
          <w:ilvl w:val="0"/>
          <w:numId w:val="3"/>
        </w:numPr>
        <w:spacing w:after="80"/>
      </w:pPr>
      <w:r>
        <w:rPr>
          <w:rFonts w:ascii="Arial" w:cs="Arial" w:eastAsia="Arial" w:hAnsi="Arial"/>
          <w:sz w:val="22"/>
          <w:szCs w:val="22"/>
        </w:rPr>
        <w:t xml:space="preserve">Add ownership check to document deletion (SEC-10)</w:t>
      </w:r>
    </w:p>
    <w:p>
      <w:pPr>
        <w:pStyle w:val="Heading2"/>
      </w:pPr>
      <w:r>
        <w:rPr>
          <w:rFonts w:ascii="Arial" w:cs="Arial" w:eastAsia="Arial" w:hAnsi="Arial"/>
        </w:rPr>
        <w:t xml:space="preserve">7.2 Phase 2: Go-Live Readiness (2 to 4 Weeks)</w:t>
      </w:r>
    </w:p>
    <w:p>
      <w:pPr>
        <w:pStyle w:val="ListParagraph"/>
        <w:numPr>
          <w:ilvl w:val="0"/>
          <w:numId w:val="3"/>
        </w:numPr>
        <w:spacing w:after="80"/>
      </w:pPr>
      <w:r>
        <w:rPr>
          <w:rFonts w:ascii="Arial" w:cs="Arial" w:eastAsia="Arial" w:hAnsi="Arial"/>
          <w:sz w:val="22"/>
          <w:szCs w:val="22"/>
        </w:rPr>
        <w:t xml:space="preserve">Implement production session store (SEC-11)</w:t>
      </w:r>
    </w:p>
    <w:p>
      <w:pPr>
        <w:pStyle w:val="ListParagraph"/>
        <w:numPr>
          <w:ilvl w:val="0"/>
          <w:numId w:val="3"/>
        </w:numPr>
        <w:spacing w:after="80"/>
      </w:pPr>
      <w:r>
        <w:rPr>
          <w:rFonts w:ascii="Arial" w:cs="Arial" w:eastAsia="Arial" w:hAnsi="Arial"/>
          <w:sz w:val="22"/>
          <w:szCs w:val="22"/>
        </w:rPr>
        <w:t xml:space="preserve">Fix session serialisation for security (SEC-09)</w:t>
      </w:r>
    </w:p>
    <w:p>
      <w:pPr>
        <w:pStyle w:val="ListParagraph"/>
        <w:numPr>
          <w:ilvl w:val="0"/>
          <w:numId w:val="3"/>
        </w:numPr>
        <w:spacing w:after="80"/>
      </w:pPr>
      <w:r>
        <w:rPr>
          <w:rFonts w:ascii="Arial" w:cs="Arial" w:eastAsia="Arial" w:hAnsi="Arial"/>
          <w:sz w:val="22"/>
          <w:szCs w:val="22"/>
        </w:rPr>
        <w:t xml:space="preserve">Enforce StorageProvider abstraction across all components (ARC-01)</w:t>
      </w:r>
    </w:p>
    <w:p>
      <w:pPr>
        <w:pStyle w:val="ListParagraph"/>
        <w:numPr>
          <w:ilvl w:val="0"/>
          <w:numId w:val="3"/>
        </w:numPr>
        <w:spacing w:after="80"/>
      </w:pPr>
      <w:r>
        <w:rPr>
          <w:rFonts w:ascii="Arial" w:cs="Arial" w:eastAsia="Arial" w:hAnsi="Arial"/>
          <w:sz w:val="22"/>
          <w:szCs w:val="22"/>
        </w:rPr>
        <w:t xml:space="preserve">Expand name and email validation for international support (VAL-01, VAL-02)</w:t>
      </w:r>
    </w:p>
    <w:p>
      <w:pPr>
        <w:pStyle w:val="ListParagraph"/>
        <w:numPr>
          <w:ilvl w:val="0"/>
          <w:numId w:val="3"/>
        </w:numPr>
        <w:spacing w:after="80"/>
      </w:pPr>
      <w:r>
        <w:rPr>
          <w:rFonts w:ascii="Arial" w:cs="Arial" w:eastAsia="Arial" w:hAnsi="Arial"/>
          <w:sz w:val="22"/>
          <w:szCs w:val="22"/>
        </w:rPr>
        <w:t xml:space="preserve">Fix SQL wildcard injection in duplicate check (DI-01)</w:t>
      </w:r>
    </w:p>
    <w:p>
      <w:pPr>
        <w:pStyle w:val="ListParagraph"/>
        <w:numPr>
          <w:ilvl w:val="0"/>
          <w:numId w:val="3"/>
        </w:numPr>
        <w:spacing w:after="80"/>
      </w:pPr>
      <w:r>
        <w:rPr>
          <w:rFonts w:ascii="Arial" w:cs="Arial" w:eastAsia="Arial" w:hAnsi="Arial"/>
          <w:sz w:val="22"/>
          <w:szCs w:val="22"/>
        </w:rPr>
        <w:t xml:space="preserve">Improve audit log reliability (SEC-13)</w:t>
      </w:r>
    </w:p>
    <w:p>
      <w:pPr>
        <w:pStyle w:val="ListParagraph"/>
        <w:numPr>
          <w:ilvl w:val="0"/>
          <w:numId w:val="3"/>
        </w:numPr>
        <w:spacing w:after="80"/>
      </w:pPr>
      <w:r>
        <w:rPr>
          <w:rFonts w:ascii="Arial" w:cs="Arial" w:eastAsia="Arial" w:hAnsi="Arial"/>
          <w:sz w:val="22"/>
          <w:szCs w:val="22"/>
        </w:rPr>
        <w:t xml:space="preserve">Externalise hardcoded email addresses (ARC-02)</w:t>
      </w:r>
    </w:p>
    <w:p>
      <w:pPr>
        <w:pStyle w:val="Heading2"/>
      </w:pPr>
      <w:r>
        <w:rPr>
          <w:rFonts w:ascii="Arial" w:cs="Arial" w:eastAsia="Arial" w:hAnsi="Arial"/>
        </w:rPr>
        <w:t xml:space="preserve">7.3 Phase 3: Post-Launch Hardening (1 to 3 Months)</w:t>
      </w:r>
    </w:p>
    <w:p>
      <w:pPr>
        <w:pStyle w:val="ListParagraph"/>
        <w:numPr>
          <w:ilvl w:val="0"/>
          <w:numId w:val="3"/>
        </w:numPr>
        <w:spacing w:after="80"/>
      </w:pPr>
      <w:r>
        <w:rPr>
          <w:rFonts w:ascii="Arial" w:cs="Arial" w:eastAsia="Arial" w:hAnsi="Arial"/>
          <w:sz w:val="22"/>
          <w:szCs w:val="22"/>
        </w:rPr>
        <w:t xml:space="preserve">Implement comprehensive test suite (FP-01)</w:t>
      </w:r>
    </w:p>
    <w:p>
      <w:pPr>
        <w:pStyle w:val="ListParagraph"/>
        <w:numPr>
          <w:ilvl w:val="0"/>
          <w:numId w:val="3"/>
        </w:numPr>
        <w:spacing w:after="80"/>
      </w:pPr>
      <w:r>
        <w:rPr>
          <w:rFonts w:ascii="Arial" w:cs="Arial" w:eastAsia="Arial" w:hAnsi="Arial"/>
          <w:sz w:val="22"/>
          <w:szCs w:val="22"/>
        </w:rPr>
        <w:t xml:space="preserve">Set up CI/CD pipeline (FP-04)</w:t>
      </w:r>
    </w:p>
    <w:p>
      <w:pPr>
        <w:pStyle w:val="ListParagraph"/>
        <w:numPr>
          <w:ilvl w:val="0"/>
          <w:numId w:val="3"/>
        </w:numPr>
        <w:spacing w:after="80"/>
      </w:pPr>
      <w:r>
        <w:rPr>
          <w:rFonts w:ascii="Arial" w:cs="Arial" w:eastAsia="Arial" w:hAnsi="Arial"/>
          <w:sz w:val="22"/>
          <w:szCs w:val="22"/>
        </w:rPr>
        <w:t xml:space="preserve">Add database migration tooling (FP-02)</w:t>
      </w:r>
    </w:p>
    <w:p>
      <w:pPr>
        <w:pStyle w:val="ListParagraph"/>
        <w:numPr>
          <w:ilvl w:val="0"/>
          <w:numId w:val="3"/>
        </w:numPr>
        <w:spacing w:after="80"/>
      </w:pPr>
      <w:r>
        <w:rPr>
          <w:rFonts w:ascii="Arial" w:cs="Arial" w:eastAsia="Arial" w:hAnsi="Arial"/>
          <w:sz w:val="22"/>
          <w:szCs w:val="22"/>
        </w:rPr>
        <w:t xml:space="preserve">Implement React Error Boundaries (ARC-03)</w:t>
      </w:r>
    </w:p>
    <w:p>
      <w:pPr>
        <w:pStyle w:val="ListParagraph"/>
        <w:numPr>
          <w:ilvl w:val="0"/>
          <w:numId w:val="3"/>
        </w:numPr>
        <w:spacing w:after="80"/>
      </w:pPr>
      <w:r>
        <w:rPr>
          <w:rFonts w:ascii="Arial" w:cs="Arial" w:eastAsia="Arial" w:hAnsi="Arial"/>
          <w:sz w:val="22"/>
          <w:szCs w:val="22"/>
        </w:rPr>
        <w:t xml:space="preserve">Add server-side draft saving (UX-02)</w:t>
      </w:r>
    </w:p>
    <w:p>
      <w:pPr>
        <w:pStyle w:val="ListParagraph"/>
        <w:numPr>
          <w:ilvl w:val="0"/>
          <w:numId w:val="3"/>
        </w:numPr>
        <w:spacing w:after="80"/>
      </w:pPr>
      <w:r>
        <w:rPr>
          <w:rFonts w:ascii="Arial" w:cs="Arial" w:eastAsia="Arial" w:hAnsi="Arial"/>
          <w:sz w:val="22"/>
          <w:szCs w:val="22"/>
        </w:rPr>
        <w:t xml:space="preserve">Add skeleton loading states (UX-01)</w:t>
      </w:r>
    </w:p>
    <w:p>
      <w:pPr>
        <w:pStyle w:val="ListParagraph"/>
        <w:numPr>
          <w:ilvl w:val="0"/>
          <w:numId w:val="3"/>
        </w:numPr>
        <w:spacing w:after="80"/>
      </w:pPr>
      <w:r>
        <w:rPr>
          <w:rFonts w:ascii="Arial" w:cs="Arial" w:eastAsia="Arial" w:hAnsi="Arial"/>
          <w:sz w:val="22"/>
          <w:szCs w:val="22"/>
        </w:rPr>
        <w:t xml:space="preserve">Plan SharePoint auth migration to MSAL (ARC-04)</w:t>
      </w:r>
    </w:p>
    <w:p>
      <w:pPr>
        <w:pStyle w:val="ListParagraph"/>
        <w:numPr>
          <w:ilvl w:val="0"/>
          <w:numId w:val="3"/>
        </w:numPr>
        <w:spacing w:after="80"/>
      </w:pPr>
      <w:r>
        <w:rPr>
          <w:rFonts w:ascii="Arial" w:cs="Arial" w:eastAsia="Arial" w:hAnsi="Arial"/>
          <w:sz w:val="22"/>
          <w:szCs w:val="22"/>
        </w:rPr>
        <w:t xml:space="preserve">Evaluate internationalisation needs (FP-03)</w:t>
      </w:r>
    </w:p>
    <w:p>
      <w:pPr>
        <w:spacing w:before="400"/>
      </w:pPr>
    </w:p>
    <w:p>
      <w:pPr>
        <w:spacing w:after="200"/>
      </w:pPr>
      <w:r>
        <w:rPr>
          <w:rFonts w:ascii="Arial" w:cs="Arial" w:eastAsia="Arial" w:hAnsi="Arial"/>
          <w:b/>
          <w:bCs/>
          <w:color w:val="005EB8"/>
          <w:sz w:val="22"/>
          <w:szCs w:val="22"/>
        </w:rPr>
        <w:t xml:space="preserve">End of Report</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Barts Health NHS Trust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5EB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2026-02-06T15:56:44.985Z</dcterms:created>
  <dcterms:modified xsi:type="dcterms:W3CDTF">2026-02-06T15:56:44.987Z</dcterms:modified>
</cp:coreProperties>
</file>

<file path=docProps/custom.xml><?xml version="1.0" encoding="utf-8"?>
<Properties xmlns="http://schemas.openxmlformats.org/officeDocument/2006/custom-properties" xmlns:vt="http://schemas.openxmlformats.org/officeDocument/2006/docPropsVTypes"/>
</file>