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BB443" w14:textId="77777777" w:rsidR="00EE05BF" w:rsidRDefault="00F264CE">
      <w:pPr>
        <w:pStyle w:val="Titre1"/>
        <w:jc w:val="center"/>
      </w:pPr>
      <w:r>
        <w:t>MAKAAO: annotation guide</w:t>
      </w:r>
    </w:p>
    <w:p w14:paraId="6CEF3093" w14:textId="77777777" w:rsidR="00EE05BF" w:rsidRDefault="00EE05BF"/>
    <w:p w14:paraId="2F27671F" w14:textId="77777777" w:rsidR="00EE05BF" w:rsidRDefault="00F264CE">
      <w:pPr>
        <w:pStyle w:val="Titre2"/>
      </w:pPr>
      <w:r>
        <w:t>What we want to do</w:t>
      </w:r>
    </w:p>
    <w:p w14:paraId="15ABE383" w14:textId="77777777" w:rsidR="00EE05BF" w:rsidRDefault="00EE05BF"/>
    <w:p w14:paraId="7E43C47F" w14:textId="77777777" w:rsidR="00EE05BF" w:rsidRDefault="00F264CE">
      <w:r>
        <w:t>We aim to train a language model to automatically:</w:t>
      </w:r>
    </w:p>
    <w:p w14:paraId="08D626EA" w14:textId="77777777" w:rsidR="00EE05BF" w:rsidRDefault="00F264CE">
      <w:pPr>
        <w:numPr>
          <w:ilvl w:val="0"/>
          <w:numId w:val="2"/>
        </w:numPr>
        <w:pBdr>
          <w:top w:val="nil"/>
          <w:left w:val="nil"/>
          <w:bottom w:val="nil"/>
          <w:right w:val="nil"/>
          <w:between w:val="nil"/>
        </w:pBdr>
        <w:spacing w:after="0"/>
      </w:pPr>
      <w:r>
        <w:rPr>
          <w:color w:val="000000"/>
        </w:rPr>
        <w:t>detect entities of the following types in English-language texts (PubMed abstracts): Autoimmune disease, their associated clinical sign, au</w:t>
      </w:r>
      <w:r>
        <w:t>toantibodies, and their targets and potential locations;</w:t>
      </w:r>
    </w:p>
    <w:p w14:paraId="1A9F8C58" w14:textId="77777777" w:rsidR="00EE05BF" w:rsidRDefault="00F264CE">
      <w:pPr>
        <w:numPr>
          <w:ilvl w:val="0"/>
          <w:numId w:val="2"/>
        </w:numPr>
        <w:pBdr>
          <w:top w:val="nil"/>
          <w:left w:val="nil"/>
          <w:bottom w:val="nil"/>
          <w:right w:val="nil"/>
          <w:between w:val="nil"/>
        </w:pBdr>
      </w:pPr>
      <w:r>
        <w:rPr>
          <w:color w:val="000000"/>
        </w:rPr>
        <w:t xml:space="preserve">extract relations of specific types between these entities. </w:t>
      </w:r>
    </w:p>
    <w:p w14:paraId="75D7BB52" w14:textId="77777777" w:rsidR="00EE05BF" w:rsidRDefault="00F264CE">
      <w:pPr>
        <w:ind w:left="45"/>
      </w:pPr>
      <w:r>
        <w:t>To do that, we propose to manually annotate a corpus where each entity and relation is clearly typed and precisely delimited, to train the model.</w:t>
      </w:r>
    </w:p>
    <w:p w14:paraId="703A3132" w14:textId="77777777" w:rsidR="00EE05BF" w:rsidRDefault="00F264CE">
      <w:r>
        <w:t>We need annotators with scientific and/or medical knowledge to manually annotate this corpus that we will use</w:t>
      </w:r>
      <w:r>
        <w:t xml:space="preserve"> to train the model.</w:t>
      </w:r>
    </w:p>
    <w:p w14:paraId="037E4779" w14:textId="77777777" w:rsidR="00EE05BF" w:rsidRDefault="00F264CE">
      <w:r>
        <w:t>This document details the rules the annotators should follow while annotating the texts. These rules may be modified, if annotators suggest changes that could make their work better or easier. The document you are currently reading was</w:t>
      </w:r>
      <w:r>
        <w:t xml:space="preserve"> last edited on </w:t>
      </w:r>
      <w:r>
        <w:rPr>
          <w:color w:val="FF0000"/>
        </w:rPr>
        <w:t>19-02-2025</w:t>
      </w:r>
      <w:r>
        <w:t>.</w:t>
      </w:r>
    </w:p>
    <w:p w14:paraId="1E88AD9F" w14:textId="77777777" w:rsidR="00EE05BF" w:rsidRDefault="00EE05BF"/>
    <w:p w14:paraId="7C797D3B" w14:textId="77777777" w:rsidR="00EE05BF" w:rsidRDefault="00F264CE">
      <w:pPr>
        <w:pStyle w:val="Titre2"/>
      </w:pPr>
      <w:r>
        <w:t>Types of objects</w:t>
      </w:r>
    </w:p>
    <w:p w14:paraId="5BC643C8" w14:textId="77777777" w:rsidR="00EE05BF" w:rsidRDefault="00EE05BF"/>
    <w:p w14:paraId="60233987" w14:textId="77777777" w:rsidR="00EE05BF" w:rsidRDefault="00F264CE">
      <w:pPr>
        <w:pStyle w:val="Titre3"/>
      </w:pPr>
      <w:r>
        <w:t>Entities</w:t>
      </w:r>
    </w:p>
    <w:tbl>
      <w:tblPr>
        <w:tblStyle w:val="a"/>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EE05BF" w14:paraId="18C04E7A" w14:textId="77777777">
        <w:trPr>
          <w:jc w:val="center"/>
        </w:trPr>
        <w:tc>
          <w:tcPr>
            <w:tcW w:w="4675" w:type="dxa"/>
            <w:shd w:val="clear" w:color="auto" w:fill="D0CECE"/>
            <w:vAlign w:val="center"/>
          </w:tcPr>
          <w:p w14:paraId="4262E322" w14:textId="77777777" w:rsidR="00EE05BF" w:rsidRDefault="00F264CE">
            <w:pPr>
              <w:pBdr>
                <w:top w:val="nil"/>
                <w:left w:val="nil"/>
                <w:bottom w:val="nil"/>
                <w:right w:val="nil"/>
                <w:between w:val="nil"/>
              </w:pBdr>
              <w:spacing w:after="160" w:line="259" w:lineRule="auto"/>
              <w:jc w:val="center"/>
              <w:rPr>
                <w:b/>
                <w:color w:val="000000"/>
              </w:rPr>
            </w:pPr>
            <w:r>
              <w:rPr>
                <w:b/>
                <w:color w:val="000000"/>
              </w:rPr>
              <w:t>Type of entity</w:t>
            </w:r>
          </w:p>
        </w:tc>
        <w:tc>
          <w:tcPr>
            <w:tcW w:w="4675" w:type="dxa"/>
            <w:shd w:val="clear" w:color="auto" w:fill="D0CECE"/>
            <w:vAlign w:val="center"/>
          </w:tcPr>
          <w:p w14:paraId="66B06930" w14:textId="77777777" w:rsidR="00EE05BF" w:rsidRDefault="00F264CE">
            <w:pPr>
              <w:pBdr>
                <w:top w:val="nil"/>
                <w:left w:val="nil"/>
                <w:bottom w:val="nil"/>
                <w:right w:val="nil"/>
                <w:between w:val="nil"/>
              </w:pBdr>
              <w:spacing w:after="160" w:line="259" w:lineRule="auto"/>
              <w:jc w:val="center"/>
              <w:rPr>
                <w:b/>
                <w:color w:val="000000"/>
              </w:rPr>
            </w:pPr>
            <w:r>
              <w:rPr>
                <w:b/>
                <w:color w:val="000000"/>
              </w:rPr>
              <w:t>Definition</w:t>
            </w:r>
          </w:p>
        </w:tc>
      </w:tr>
      <w:tr w:rsidR="00EE05BF" w14:paraId="474CE6B4" w14:textId="77777777">
        <w:trPr>
          <w:jc w:val="center"/>
        </w:trPr>
        <w:tc>
          <w:tcPr>
            <w:tcW w:w="4675" w:type="dxa"/>
            <w:vAlign w:val="center"/>
          </w:tcPr>
          <w:p w14:paraId="248F5159" w14:textId="77777777" w:rsidR="00EE05BF" w:rsidRDefault="00F264CE">
            <w:pPr>
              <w:pBdr>
                <w:top w:val="nil"/>
                <w:left w:val="nil"/>
                <w:bottom w:val="nil"/>
                <w:right w:val="nil"/>
                <w:between w:val="nil"/>
              </w:pBdr>
              <w:spacing w:after="160" w:line="259" w:lineRule="auto"/>
              <w:jc w:val="center"/>
              <w:rPr>
                <w:b/>
                <w:color w:val="000000"/>
              </w:rPr>
            </w:pPr>
            <w:r>
              <w:rPr>
                <w:b/>
                <w:color w:val="70AD47"/>
              </w:rPr>
              <w:t>Disease</w:t>
            </w:r>
          </w:p>
        </w:tc>
        <w:tc>
          <w:tcPr>
            <w:tcW w:w="4675" w:type="dxa"/>
            <w:vAlign w:val="center"/>
          </w:tcPr>
          <w:p w14:paraId="2930918F" w14:textId="77777777" w:rsidR="00EE05BF" w:rsidRDefault="00F264CE">
            <w:pPr>
              <w:pBdr>
                <w:top w:val="nil"/>
                <w:left w:val="nil"/>
                <w:bottom w:val="nil"/>
                <w:right w:val="nil"/>
                <w:between w:val="nil"/>
              </w:pBdr>
              <w:spacing w:after="160" w:line="259" w:lineRule="auto"/>
              <w:jc w:val="center"/>
              <w:rPr>
                <w:color w:val="000000"/>
              </w:rPr>
            </w:pPr>
            <w:r>
              <w:rPr>
                <w:rFonts w:ascii="Arial" w:eastAsia="Arial" w:hAnsi="Arial" w:cs="Arial"/>
                <w:color w:val="202122"/>
                <w:sz w:val="21"/>
                <w:szCs w:val="21"/>
                <w:highlight w:val="white"/>
              </w:rPr>
              <w:t>A </w:t>
            </w:r>
            <w:r>
              <w:rPr>
                <w:rFonts w:ascii="Arial" w:eastAsia="Arial" w:hAnsi="Arial" w:cs="Arial"/>
                <w:b/>
                <w:color w:val="202122"/>
                <w:sz w:val="21"/>
                <w:szCs w:val="21"/>
                <w:highlight w:val="white"/>
              </w:rPr>
              <w:t>disease</w:t>
            </w:r>
            <w:r>
              <w:rPr>
                <w:rFonts w:ascii="Arial" w:eastAsia="Arial" w:hAnsi="Arial" w:cs="Arial"/>
                <w:color w:val="202122"/>
                <w:sz w:val="21"/>
                <w:szCs w:val="21"/>
                <w:highlight w:val="white"/>
              </w:rPr>
              <w:t> is an abnormal condition that adversely affects the </w:t>
            </w:r>
            <w:hyperlink r:id="rId6">
              <w:r>
                <w:rPr>
                  <w:rFonts w:ascii="Arial" w:eastAsia="Arial" w:hAnsi="Arial" w:cs="Arial"/>
                  <w:color w:val="3366CC"/>
                  <w:sz w:val="21"/>
                  <w:szCs w:val="21"/>
                  <w:highlight w:val="white"/>
                  <w:u w:val="single"/>
                </w:rPr>
                <w:t>structure</w:t>
              </w:r>
            </w:hyperlink>
            <w:r>
              <w:rPr>
                <w:rFonts w:ascii="Arial" w:eastAsia="Arial" w:hAnsi="Arial" w:cs="Arial"/>
                <w:color w:val="202122"/>
                <w:sz w:val="21"/>
                <w:szCs w:val="21"/>
                <w:highlight w:val="white"/>
              </w:rPr>
              <w:t> or </w:t>
            </w:r>
            <w:hyperlink r:id="rId7">
              <w:r>
                <w:rPr>
                  <w:rFonts w:ascii="Arial" w:eastAsia="Arial" w:hAnsi="Arial" w:cs="Arial"/>
                  <w:color w:val="3366CC"/>
                  <w:sz w:val="21"/>
                  <w:szCs w:val="21"/>
                  <w:highlight w:val="white"/>
                  <w:u w:val="single"/>
                </w:rPr>
                <w:t>function</w:t>
              </w:r>
            </w:hyperlink>
            <w:r>
              <w:rPr>
                <w:rFonts w:ascii="Arial" w:eastAsia="Arial" w:hAnsi="Arial" w:cs="Arial"/>
                <w:color w:val="202122"/>
                <w:sz w:val="21"/>
                <w:szCs w:val="21"/>
                <w:highlight w:val="white"/>
              </w:rPr>
              <w:t> of all or part of an organism and is not immediately due to any external </w:t>
            </w:r>
            <w:hyperlink r:id="rId8">
              <w:r>
                <w:rPr>
                  <w:rFonts w:ascii="Arial" w:eastAsia="Arial" w:hAnsi="Arial" w:cs="Arial"/>
                  <w:color w:val="3366CC"/>
                  <w:sz w:val="21"/>
                  <w:szCs w:val="21"/>
                  <w:highlight w:val="white"/>
                  <w:u w:val="single"/>
                </w:rPr>
                <w:t>injury</w:t>
              </w:r>
            </w:hyperlink>
            <w:r>
              <w:rPr>
                <w:rFonts w:ascii="Arial" w:eastAsia="Arial" w:hAnsi="Arial" w:cs="Arial"/>
                <w:color w:val="202122"/>
                <w:sz w:val="21"/>
                <w:szCs w:val="21"/>
                <w:highlight w:val="white"/>
              </w:rPr>
              <w:t>.</w:t>
            </w:r>
            <w:r>
              <w:rPr>
                <w:rFonts w:ascii="Arial" w:eastAsia="Arial" w:hAnsi="Arial" w:cs="Arial"/>
                <w:color w:val="202122"/>
                <w:sz w:val="21"/>
                <w:szCs w:val="21"/>
                <w:highlight w:val="white"/>
              </w:rPr>
              <w:t> Diseases are often known to be </w:t>
            </w:r>
            <w:r>
              <w:rPr>
                <w:rFonts w:ascii="Arial" w:eastAsia="Arial" w:hAnsi="Arial" w:cs="Arial"/>
                <w:b/>
                <w:color w:val="202122"/>
                <w:sz w:val="21"/>
                <w:szCs w:val="21"/>
                <w:highlight w:val="white"/>
              </w:rPr>
              <w:t>medical conditions</w:t>
            </w:r>
            <w:r>
              <w:rPr>
                <w:rFonts w:ascii="Arial" w:eastAsia="Arial" w:hAnsi="Arial" w:cs="Arial"/>
                <w:color w:val="202122"/>
                <w:sz w:val="21"/>
                <w:szCs w:val="21"/>
                <w:highlight w:val="white"/>
              </w:rPr>
              <w:t> that are associated with specific </w:t>
            </w:r>
            <w:hyperlink r:id="rId9">
              <w:r>
                <w:rPr>
                  <w:rFonts w:ascii="Arial" w:eastAsia="Arial" w:hAnsi="Arial" w:cs="Arial"/>
                  <w:color w:val="3366CC"/>
                  <w:sz w:val="21"/>
                  <w:szCs w:val="21"/>
                  <w:highlight w:val="white"/>
                  <w:u w:val="single"/>
                </w:rPr>
                <w:t>signs and symptoms</w:t>
              </w:r>
            </w:hyperlink>
            <w:r>
              <w:rPr>
                <w:rFonts w:ascii="Arial" w:eastAsia="Arial" w:hAnsi="Arial" w:cs="Arial"/>
                <w:color w:val="202122"/>
                <w:sz w:val="21"/>
                <w:szCs w:val="21"/>
                <w:highlight w:val="white"/>
              </w:rPr>
              <w:t>. A disease may be caused by external factors such as </w:t>
            </w:r>
            <w:hyperlink r:id="rId10">
              <w:r>
                <w:rPr>
                  <w:rFonts w:ascii="Arial" w:eastAsia="Arial" w:hAnsi="Arial" w:cs="Arial"/>
                  <w:color w:val="3366CC"/>
                  <w:sz w:val="21"/>
                  <w:szCs w:val="21"/>
                  <w:highlight w:val="white"/>
                  <w:u w:val="single"/>
                </w:rPr>
                <w:t>pathogens</w:t>
              </w:r>
            </w:hyperlink>
            <w:r>
              <w:rPr>
                <w:rFonts w:ascii="Arial" w:eastAsia="Arial" w:hAnsi="Arial" w:cs="Arial"/>
                <w:color w:val="202122"/>
                <w:sz w:val="21"/>
                <w:szCs w:val="21"/>
                <w:highlight w:val="white"/>
              </w:rPr>
              <w:t> or by internal dysfunctions. For example, internal dysfunctions of the </w:t>
            </w:r>
            <w:hyperlink r:id="rId11">
              <w:r>
                <w:rPr>
                  <w:rFonts w:ascii="Arial" w:eastAsia="Arial" w:hAnsi="Arial" w:cs="Arial"/>
                  <w:color w:val="3366CC"/>
                  <w:sz w:val="21"/>
                  <w:szCs w:val="21"/>
                  <w:highlight w:val="white"/>
                  <w:u w:val="single"/>
                </w:rPr>
                <w:t>immune system</w:t>
              </w:r>
            </w:hyperlink>
            <w:r>
              <w:rPr>
                <w:rFonts w:ascii="Arial" w:eastAsia="Arial" w:hAnsi="Arial" w:cs="Arial"/>
                <w:color w:val="202122"/>
                <w:sz w:val="21"/>
                <w:szCs w:val="21"/>
                <w:highlight w:val="white"/>
              </w:rPr>
              <w:t> can produce a variety of different diseases,</w:t>
            </w:r>
            <w:r>
              <w:rPr>
                <w:rFonts w:ascii="Arial" w:eastAsia="Arial" w:hAnsi="Arial" w:cs="Arial"/>
                <w:color w:val="202122"/>
                <w:sz w:val="21"/>
                <w:szCs w:val="21"/>
                <w:highlight w:val="white"/>
              </w:rPr>
              <w:t xml:space="preserve"> including various forms of </w:t>
            </w:r>
            <w:hyperlink r:id="rId12">
              <w:r>
                <w:rPr>
                  <w:rFonts w:ascii="Arial" w:eastAsia="Arial" w:hAnsi="Arial" w:cs="Arial"/>
                  <w:color w:val="3366CC"/>
                  <w:sz w:val="21"/>
                  <w:szCs w:val="21"/>
                  <w:highlight w:val="white"/>
                  <w:u w:val="single"/>
                </w:rPr>
                <w:t>immunodeficiency</w:t>
              </w:r>
            </w:hyperlink>
            <w:r>
              <w:rPr>
                <w:rFonts w:ascii="Arial" w:eastAsia="Arial" w:hAnsi="Arial" w:cs="Arial"/>
                <w:color w:val="202122"/>
                <w:sz w:val="21"/>
                <w:szCs w:val="21"/>
                <w:highlight w:val="white"/>
              </w:rPr>
              <w:t>, </w:t>
            </w:r>
            <w:hyperlink r:id="rId13">
              <w:r>
                <w:rPr>
                  <w:rFonts w:ascii="Arial" w:eastAsia="Arial" w:hAnsi="Arial" w:cs="Arial"/>
                  <w:color w:val="3366CC"/>
                  <w:sz w:val="21"/>
                  <w:szCs w:val="21"/>
                  <w:highlight w:val="white"/>
                  <w:u w:val="single"/>
                </w:rPr>
                <w:t>hypersensitivity</w:t>
              </w:r>
            </w:hyperlink>
            <w:r>
              <w:rPr>
                <w:rFonts w:ascii="Arial" w:eastAsia="Arial" w:hAnsi="Arial" w:cs="Arial"/>
                <w:color w:val="202122"/>
                <w:sz w:val="21"/>
                <w:szCs w:val="21"/>
                <w:highlight w:val="white"/>
              </w:rPr>
              <w:t>, </w:t>
            </w:r>
            <w:hyperlink r:id="rId14">
              <w:r>
                <w:rPr>
                  <w:rFonts w:ascii="Arial" w:eastAsia="Arial" w:hAnsi="Arial" w:cs="Arial"/>
                  <w:color w:val="3366CC"/>
                  <w:sz w:val="21"/>
                  <w:szCs w:val="21"/>
                  <w:highlight w:val="white"/>
                  <w:u w:val="single"/>
                </w:rPr>
                <w:t>all</w:t>
              </w:r>
              <w:r>
                <w:rPr>
                  <w:rFonts w:ascii="Arial" w:eastAsia="Arial" w:hAnsi="Arial" w:cs="Arial"/>
                  <w:color w:val="3366CC"/>
                  <w:sz w:val="21"/>
                  <w:szCs w:val="21"/>
                  <w:highlight w:val="white"/>
                  <w:u w:val="single"/>
                </w:rPr>
                <w:t>ergies</w:t>
              </w:r>
            </w:hyperlink>
            <w:r>
              <w:rPr>
                <w:rFonts w:ascii="Arial" w:eastAsia="Arial" w:hAnsi="Arial" w:cs="Arial"/>
                <w:color w:val="202122"/>
                <w:sz w:val="21"/>
                <w:szCs w:val="21"/>
                <w:highlight w:val="white"/>
              </w:rPr>
              <w:t>, and </w:t>
            </w:r>
            <w:hyperlink r:id="rId15">
              <w:r>
                <w:rPr>
                  <w:rFonts w:ascii="Arial" w:eastAsia="Arial" w:hAnsi="Arial" w:cs="Arial"/>
                  <w:color w:val="3366CC"/>
                  <w:sz w:val="21"/>
                  <w:szCs w:val="21"/>
                  <w:highlight w:val="white"/>
                  <w:u w:val="single"/>
                </w:rPr>
                <w:t>autoimmune disorders</w:t>
              </w:r>
            </w:hyperlink>
            <w:r>
              <w:rPr>
                <w:rFonts w:ascii="Arial" w:eastAsia="Arial" w:hAnsi="Arial" w:cs="Arial"/>
                <w:color w:val="202122"/>
                <w:sz w:val="21"/>
                <w:szCs w:val="21"/>
                <w:highlight w:val="white"/>
              </w:rPr>
              <w:t>.</w:t>
            </w:r>
          </w:p>
        </w:tc>
      </w:tr>
      <w:tr w:rsidR="00EE05BF" w14:paraId="285EED81" w14:textId="77777777">
        <w:trPr>
          <w:jc w:val="center"/>
        </w:trPr>
        <w:tc>
          <w:tcPr>
            <w:tcW w:w="4675" w:type="dxa"/>
            <w:vAlign w:val="center"/>
          </w:tcPr>
          <w:p w14:paraId="6C3B535E" w14:textId="77777777" w:rsidR="00EE05BF" w:rsidRDefault="00F264CE">
            <w:pPr>
              <w:pBdr>
                <w:top w:val="nil"/>
                <w:left w:val="nil"/>
                <w:bottom w:val="nil"/>
                <w:right w:val="nil"/>
                <w:between w:val="nil"/>
              </w:pBdr>
              <w:spacing w:after="160" w:line="259" w:lineRule="auto"/>
              <w:jc w:val="center"/>
              <w:rPr>
                <w:b/>
                <w:color w:val="000000"/>
              </w:rPr>
            </w:pPr>
            <w:r>
              <w:rPr>
                <w:b/>
                <w:color w:val="5B9BD5"/>
              </w:rPr>
              <w:t>Autoantibody</w:t>
            </w:r>
          </w:p>
        </w:tc>
        <w:tc>
          <w:tcPr>
            <w:tcW w:w="4675" w:type="dxa"/>
            <w:vAlign w:val="center"/>
          </w:tcPr>
          <w:p w14:paraId="3AFA1E08" w14:textId="77777777" w:rsidR="00EE05BF" w:rsidRDefault="00F264CE">
            <w:pPr>
              <w:pBdr>
                <w:top w:val="nil"/>
                <w:left w:val="nil"/>
                <w:bottom w:val="nil"/>
                <w:right w:val="nil"/>
                <w:between w:val="nil"/>
              </w:pBdr>
              <w:spacing w:after="160" w:line="259" w:lineRule="auto"/>
              <w:jc w:val="center"/>
              <w:rPr>
                <w:color w:val="000000"/>
              </w:rPr>
            </w:pPr>
            <w:r>
              <w:rPr>
                <w:rFonts w:ascii="Arial" w:eastAsia="Arial" w:hAnsi="Arial" w:cs="Arial"/>
                <w:color w:val="202122"/>
                <w:sz w:val="21"/>
                <w:szCs w:val="21"/>
                <w:highlight w:val="white"/>
              </w:rPr>
              <w:t>An </w:t>
            </w:r>
            <w:r>
              <w:rPr>
                <w:rFonts w:ascii="Arial" w:eastAsia="Arial" w:hAnsi="Arial" w:cs="Arial"/>
                <w:b/>
                <w:color w:val="202122"/>
                <w:sz w:val="21"/>
                <w:szCs w:val="21"/>
                <w:highlight w:val="white"/>
              </w:rPr>
              <w:t>autoantibody</w:t>
            </w:r>
            <w:r>
              <w:rPr>
                <w:rFonts w:ascii="Arial" w:eastAsia="Arial" w:hAnsi="Arial" w:cs="Arial"/>
                <w:color w:val="202122"/>
                <w:sz w:val="21"/>
                <w:szCs w:val="21"/>
                <w:highlight w:val="white"/>
              </w:rPr>
              <w:t> is an </w:t>
            </w:r>
            <w:hyperlink r:id="rId16">
              <w:r>
                <w:rPr>
                  <w:rFonts w:ascii="Arial" w:eastAsia="Arial" w:hAnsi="Arial" w:cs="Arial"/>
                  <w:color w:val="3366CC"/>
                  <w:sz w:val="21"/>
                  <w:szCs w:val="21"/>
                  <w:highlight w:val="white"/>
                  <w:u w:val="single"/>
                </w:rPr>
                <w:t>antibody</w:t>
              </w:r>
            </w:hyperlink>
            <w:r>
              <w:rPr>
                <w:rFonts w:ascii="Arial" w:eastAsia="Arial" w:hAnsi="Arial" w:cs="Arial"/>
                <w:color w:val="202122"/>
                <w:sz w:val="21"/>
                <w:szCs w:val="21"/>
                <w:highlight w:val="white"/>
              </w:rPr>
              <w:t> (a type of </w:t>
            </w:r>
            <w:hyperlink r:id="rId17">
              <w:r>
                <w:rPr>
                  <w:rFonts w:ascii="Arial" w:eastAsia="Arial" w:hAnsi="Arial" w:cs="Arial"/>
                  <w:color w:val="3366CC"/>
                  <w:sz w:val="21"/>
                  <w:szCs w:val="21"/>
                  <w:highlight w:val="white"/>
                  <w:u w:val="single"/>
                </w:rPr>
                <w:t>protein</w:t>
              </w:r>
            </w:hyperlink>
            <w:r>
              <w:rPr>
                <w:rFonts w:ascii="Arial" w:eastAsia="Arial" w:hAnsi="Arial" w:cs="Arial"/>
                <w:color w:val="202122"/>
                <w:sz w:val="21"/>
                <w:szCs w:val="21"/>
                <w:highlight w:val="white"/>
              </w:rPr>
              <w:t>) produced by the </w:t>
            </w:r>
            <w:hyperlink r:id="rId18">
              <w:r>
                <w:rPr>
                  <w:rFonts w:ascii="Arial" w:eastAsia="Arial" w:hAnsi="Arial" w:cs="Arial"/>
                  <w:color w:val="3366CC"/>
                  <w:sz w:val="21"/>
                  <w:szCs w:val="21"/>
                  <w:highlight w:val="white"/>
                  <w:u w:val="single"/>
                </w:rPr>
                <w:t>immune system</w:t>
              </w:r>
            </w:hyperlink>
            <w:r>
              <w:rPr>
                <w:rFonts w:ascii="Arial" w:eastAsia="Arial" w:hAnsi="Arial" w:cs="Arial"/>
                <w:color w:val="202122"/>
                <w:sz w:val="21"/>
                <w:szCs w:val="21"/>
                <w:highlight w:val="white"/>
              </w:rPr>
              <w:t xml:space="preserve"> of an </w:t>
            </w:r>
            <w:r>
              <w:rPr>
                <w:rFonts w:ascii="Arial" w:eastAsia="Arial" w:hAnsi="Arial" w:cs="Arial"/>
                <w:color w:val="202122"/>
                <w:sz w:val="21"/>
                <w:szCs w:val="21"/>
                <w:highlight w:val="white"/>
              </w:rPr>
              <w:t>organism</w:t>
            </w:r>
            <w:r>
              <w:rPr>
                <w:rFonts w:ascii="Arial" w:eastAsia="Arial" w:hAnsi="Arial" w:cs="Arial"/>
                <w:color w:val="202122"/>
                <w:sz w:val="21"/>
                <w:szCs w:val="21"/>
                <w:highlight w:val="white"/>
              </w:rPr>
              <w:t xml:space="preserve"> and is directed against molecules </w:t>
            </w:r>
            <w:r>
              <w:rPr>
                <w:rFonts w:ascii="Arial" w:eastAsia="Arial" w:hAnsi="Arial" w:cs="Arial"/>
                <w:color w:val="202122"/>
                <w:sz w:val="21"/>
                <w:szCs w:val="21"/>
                <w:highlight w:val="white"/>
              </w:rPr>
              <w:t>of the same</w:t>
            </w:r>
            <w:r>
              <w:rPr>
                <w:rFonts w:ascii="Arial" w:eastAsia="Arial" w:hAnsi="Arial" w:cs="Arial"/>
                <w:color w:val="202122"/>
                <w:sz w:val="21"/>
                <w:szCs w:val="21"/>
                <w:highlight w:val="white"/>
              </w:rPr>
              <w:t xml:space="preserve"> organism</w:t>
            </w:r>
            <w:r>
              <w:rPr>
                <w:rFonts w:ascii="Arial" w:eastAsia="Arial" w:hAnsi="Arial" w:cs="Arial"/>
                <w:color w:val="202122"/>
                <w:sz w:val="21"/>
                <w:szCs w:val="21"/>
              </w:rPr>
              <w:t xml:space="preserve">. </w:t>
            </w:r>
            <w:r>
              <w:rPr>
                <w:rFonts w:ascii="Arial" w:eastAsia="Arial" w:hAnsi="Arial" w:cs="Arial"/>
                <w:color w:val="202122"/>
                <w:sz w:val="21"/>
                <w:szCs w:val="21"/>
                <w:highlight w:val="white"/>
              </w:rPr>
              <w:t xml:space="preserve">An antibody will not be </w:t>
            </w:r>
            <w:r>
              <w:rPr>
                <w:rFonts w:ascii="Arial" w:eastAsia="Arial" w:hAnsi="Arial" w:cs="Arial"/>
                <w:color w:val="202122"/>
                <w:sz w:val="21"/>
                <w:szCs w:val="21"/>
                <w:highlight w:val="white"/>
              </w:rPr>
              <w:lastRenderedPageBreak/>
              <w:t>considered an autoantibody if it comes from outside the organism (ex: isoantibody, autoantibody used as treatment). Do not annotate an antibody isotype alone (</w:t>
            </w:r>
            <w:proofErr w:type="spellStart"/>
            <w:r>
              <w:rPr>
                <w:rFonts w:ascii="Arial" w:eastAsia="Arial" w:hAnsi="Arial" w:cs="Arial"/>
                <w:color w:val="202122"/>
                <w:sz w:val="21"/>
                <w:szCs w:val="21"/>
                <w:highlight w:val="white"/>
              </w:rPr>
              <w:t>eg.</w:t>
            </w:r>
            <w:proofErr w:type="spellEnd"/>
            <w:r>
              <w:rPr>
                <w:rFonts w:ascii="Arial" w:eastAsia="Arial" w:hAnsi="Arial" w:cs="Arial"/>
                <w:color w:val="202122"/>
                <w:sz w:val="21"/>
                <w:szCs w:val="21"/>
                <w:highlight w:val="white"/>
              </w:rPr>
              <w:t xml:space="preserve"> “IgG”), but include the isotype if it comes with an autoantibody name</w:t>
            </w:r>
            <w:r>
              <w:rPr>
                <w:rFonts w:ascii="Arial" w:eastAsia="Arial" w:hAnsi="Arial" w:cs="Arial"/>
                <w:color w:val="202122"/>
                <w:sz w:val="21"/>
                <w:szCs w:val="21"/>
                <w:highlight w:val="white"/>
              </w:rPr>
              <w:t xml:space="preserve">. See non-exhaustive list of autoantibodies </w:t>
            </w:r>
            <w:hyperlink r:id="rId19">
              <w:r>
                <w:rPr>
                  <w:rFonts w:ascii="Arial" w:eastAsia="Arial" w:hAnsi="Arial" w:cs="Arial"/>
                  <w:color w:val="1155CC"/>
                  <w:sz w:val="21"/>
                  <w:szCs w:val="21"/>
                  <w:highlight w:val="white"/>
                  <w:u w:val="single"/>
                </w:rPr>
                <w:t>here</w:t>
              </w:r>
            </w:hyperlink>
          </w:p>
        </w:tc>
      </w:tr>
      <w:tr w:rsidR="00EE05BF" w14:paraId="6BE541F4" w14:textId="77777777">
        <w:trPr>
          <w:jc w:val="center"/>
        </w:trPr>
        <w:tc>
          <w:tcPr>
            <w:tcW w:w="4675" w:type="dxa"/>
            <w:vAlign w:val="center"/>
          </w:tcPr>
          <w:p w14:paraId="5CCA241C" w14:textId="77777777" w:rsidR="00EE05BF" w:rsidRDefault="00F264CE">
            <w:pPr>
              <w:pBdr>
                <w:top w:val="nil"/>
                <w:left w:val="nil"/>
                <w:bottom w:val="nil"/>
                <w:right w:val="nil"/>
                <w:between w:val="nil"/>
              </w:pBdr>
              <w:spacing w:line="259" w:lineRule="auto"/>
              <w:jc w:val="center"/>
              <w:rPr>
                <w:b/>
                <w:color w:val="BF8F00"/>
              </w:rPr>
            </w:pPr>
            <w:r>
              <w:rPr>
                <w:b/>
                <w:color w:val="BF8F00"/>
              </w:rPr>
              <w:lastRenderedPageBreak/>
              <w:t>Signs and symptoms</w:t>
            </w:r>
          </w:p>
          <w:p w14:paraId="51D8337E" w14:textId="77777777" w:rsidR="00EE05BF" w:rsidRDefault="00F264CE">
            <w:pPr>
              <w:pBdr>
                <w:top w:val="nil"/>
                <w:left w:val="nil"/>
                <w:bottom w:val="nil"/>
                <w:right w:val="nil"/>
                <w:between w:val="nil"/>
              </w:pBdr>
              <w:spacing w:after="160" w:line="259" w:lineRule="auto"/>
              <w:jc w:val="center"/>
              <w:rPr>
                <w:b/>
                <w:color w:val="000000"/>
              </w:rPr>
            </w:pPr>
            <w:r>
              <w:rPr>
                <w:color w:val="000000"/>
              </w:rPr>
              <w:t>(shall be referred to as: “</w:t>
            </w:r>
            <w:proofErr w:type="spellStart"/>
            <w:r>
              <w:rPr>
                <w:b/>
                <w:color w:val="BF8F00"/>
              </w:rPr>
              <w:t>C</w:t>
            </w:r>
            <w:r>
              <w:rPr>
                <w:b/>
                <w:color w:val="BF8F00"/>
              </w:rPr>
              <w:t>linical_sign</w:t>
            </w:r>
            <w:proofErr w:type="spellEnd"/>
            <w:r>
              <w:rPr>
                <w:color w:val="000000"/>
              </w:rPr>
              <w:t>”, for convenience)</w:t>
            </w:r>
          </w:p>
        </w:tc>
        <w:tc>
          <w:tcPr>
            <w:tcW w:w="4675" w:type="dxa"/>
            <w:vAlign w:val="center"/>
          </w:tcPr>
          <w:p w14:paraId="6E3C4322" w14:textId="77777777" w:rsidR="00EE05BF" w:rsidRDefault="00F264CE">
            <w:pPr>
              <w:pBdr>
                <w:top w:val="nil"/>
                <w:left w:val="nil"/>
                <w:bottom w:val="nil"/>
                <w:right w:val="nil"/>
                <w:between w:val="nil"/>
              </w:pBdr>
              <w:shd w:val="clear" w:color="auto" w:fill="FFFFFF"/>
              <w:spacing w:before="120"/>
              <w:jc w:val="center"/>
              <w:rPr>
                <w:rFonts w:ascii="Arial" w:eastAsia="Arial" w:hAnsi="Arial" w:cs="Arial"/>
                <w:color w:val="202122"/>
                <w:sz w:val="21"/>
                <w:szCs w:val="21"/>
              </w:rPr>
            </w:pPr>
            <w:r>
              <w:rPr>
                <w:rFonts w:ascii="Arial" w:eastAsia="Arial" w:hAnsi="Arial" w:cs="Arial"/>
                <w:b/>
                <w:color w:val="202122"/>
                <w:sz w:val="21"/>
                <w:szCs w:val="21"/>
              </w:rPr>
              <w:t>Signs and symptoms</w:t>
            </w:r>
            <w:r>
              <w:rPr>
                <w:rFonts w:ascii="Arial" w:eastAsia="Arial" w:hAnsi="Arial" w:cs="Arial"/>
                <w:color w:val="202122"/>
                <w:sz w:val="21"/>
                <w:szCs w:val="21"/>
              </w:rPr>
              <w:t> are the observed or detectable signs, and experienced symptoms of an </w:t>
            </w:r>
            <w:hyperlink r:id="rId20">
              <w:r>
                <w:rPr>
                  <w:rFonts w:ascii="Arial" w:eastAsia="Arial" w:hAnsi="Arial" w:cs="Arial"/>
                  <w:color w:val="3366CC"/>
                  <w:sz w:val="21"/>
                  <w:szCs w:val="21"/>
                  <w:u w:val="single"/>
                </w:rPr>
                <w:t>illness</w:t>
              </w:r>
            </w:hyperlink>
            <w:r>
              <w:rPr>
                <w:rFonts w:ascii="Arial" w:eastAsia="Arial" w:hAnsi="Arial" w:cs="Arial"/>
                <w:color w:val="202122"/>
                <w:sz w:val="21"/>
                <w:szCs w:val="21"/>
              </w:rPr>
              <w:t>, injury, or condition.</w:t>
            </w:r>
          </w:p>
          <w:p w14:paraId="18E871CE" w14:textId="77777777" w:rsidR="00EE05BF" w:rsidRDefault="00F264CE">
            <w:pPr>
              <w:pBdr>
                <w:top w:val="nil"/>
                <w:left w:val="nil"/>
                <w:bottom w:val="nil"/>
                <w:right w:val="nil"/>
                <w:between w:val="nil"/>
              </w:pBdr>
              <w:shd w:val="clear" w:color="auto" w:fill="FFFFFF"/>
              <w:spacing w:before="120"/>
              <w:jc w:val="center"/>
              <w:rPr>
                <w:rFonts w:ascii="Arial" w:eastAsia="Arial" w:hAnsi="Arial" w:cs="Arial"/>
                <w:color w:val="202122"/>
                <w:sz w:val="21"/>
                <w:szCs w:val="21"/>
              </w:rPr>
            </w:pPr>
            <w:r>
              <w:rPr>
                <w:rFonts w:ascii="Arial" w:eastAsia="Arial" w:hAnsi="Arial" w:cs="Arial"/>
                <w:b/>
                <w:color w:val="202122"/>
                <w:sz w:val="21"/>
                <w:szCs w:val="21"/>
              </w:rPr>
              <w:t>Signs</w:t>
            </w:r>
            <w:r>
              <w:rPr>
                <w:rFonts w:ascii="Arial" w:eastAsia="Arial" w:hAnsi="Arial" w:cs="Arial"/>
                <w:color w:val="202122"/>
                <w:sz w:val="21"/>
                <w:szCs w:val="21"/>
              </w:rPr>
              <w:t xml:space="preserve"> are objective and observable; symptoms are a person's reported subjective experiences.</w:t>
            </w:r>
            <w:hyperlink r:id="rId21" w:anchor="cite_note-1">
              <w:r>
                <w:rPr>
                  <w:rFonts w:ascii="Arial" w:eastAsia="Arial" w:hAnsi="Arial" w:cs="Arial"/>
                  <w:color w:val="3366CC"/>
                  <w:sz w:val="17"/>
                  <w:szCs w:val="17"/>
                  <w:u w:val="single"/>
                  <w:vertAlign w:val="superscript"/>
                </w:rPr>
                <w:t>[1]</w:t>
              </w:r>
            </w:hyperlink>
            <w:r>
              <w:rPr>
                <w:rFonts w:ascii="Arial" w:eastAsia="Arial" w:hAnsi="Arial" w:cs="Arial"/>
                <w:color w:val="202122"/>
                <w:sz w:val="21"/>
                <w:szCs w:val="21"/>
              </w:rPr>
              <w:t> A sign for example may be a temperature higher or lower than normal, raised or lowered blood pressure or an abnormality showing on a </w:t>
            </w:r>
            <w:hyperlink r:id="rId22">
              <w:r>
                <w:rPr>
                  <w:rFonts w:ascii="Arial" w:eastAsia="Arial" w:hAnsi="Arial" w:cs="Arial"/>
                  <w:color w:val="3366CC"/>
                  <w:sz w:val="21"/>
                  <w:szCs w:val="21"/>
                  <w:u w:val="single"/>
                </w:rPr>
                <w:t>medical scan</w:t>
              </w:r>
            </w:hyperlink>
            <w:r>
              <w:rPr>
                <w:rFonts w:ascii="Arial" w:eastAsia="Arial" w:hAnsi="Arial" w:cs="Arial"/>
                <w:color w:val="202122"/>
                <w:sz w:val="21"/>
                <w:szCs w:val="21"/>
              </w:rPr>
              <w:t xml:space="preserve">. </w:t>
            </w:r>
            <w:r>
              <w:rPr>
                <w:rFonts w:ascii="Arial" w:eastAsia="Arial" w:hAnsi="Arial" w:cs="Arial"/>
                <w:color w:val="202122"/>
                <w:sz w:val="21"/>
                <w:szCs w:val="21"/>
              </w:rPr>
              <w:t>The presence of an autoantibody, revealed by a test, is a biological sign.</w:t>
            </w:r>
            <w:r>
              <w:rPr>
                <w:rFonts w:ascii="Arial" w:eastAsia="Arial" w:hAnsi="Arial" w:cs="Arial"/>
                <w:color w:val="202122"/>
                <w:sz w:val="21"/>
                <w:szCs w:val="21"/>
              </w:rPr>
              <w:t xml:space="preserve"> A </w:t>
            </w:r>
            <w:r>
              <w:rPr>
                <w:rFonts w:ascii="Arial" w:eastAsia="Arial" w:hAnsi="Arial" w:cs="Arial"/>
                <w:b/>
                <w:color w:val="202122"/>
                <w:sz w:val="21"/>
                <w:szCs w:val="21"/>
              </w:rPr>
              <w:t>symptom</w:t>
            </w:r>
            <w:r>
              <w:rPr>
                <w:rFonts w:ascii="Arial" w:eastAsia="Arial" w:hAnsi="Arial" w:cs="Arial"/>
                <w:color w:val="202122"/>
                <w:sz w:val="21"/>
                <w:szCs w:val="21"/>
              </w:rPr>
              <w:t xml:space="preserve"> is something out of the ordinary that is experienced by an individual such as feeling feverish, a headache or pain.</w:t>
            </w:r>
            <w:hyperlink r:id="rId23" w:anchor="cite_note-CTG-2">
              <w:r>
                <w:rPr>
                  <w:rFonts w:ascii="Arial" w:eastAsia="Arial" w:hAnsi="Arial" w:cs="Arial"/>
                  <w:color w:val="3366CC"/>
                  <w:sz w:val="17"/>
                  <w:szCs w:val="17"/>
                  <w:u w:val="single"/>
                  <w:vertAlign w:val="superscript"/>
                </w:rPr>
                <w:t>[2]</w:t>
              </w:r>
            </w:hyperlink>
            <w:hyperlink r:id="rId24" w:anchor="cite_note-NHS-3">
              <w:r>
                <w:rPr>
                  <w:rFonts w:ascii="Arial" w:eastAsia="Arial" w:hAnsi="Arial" w:cs="Arial"/>
                  <w:color w:val="3366CC"/>
                  <w:sz w:val="17"/>
                  <w:szCs w:val="17"/>
                  <w:u w:val="single"/>
                  <w:vertAlign w:val="superscript"/>
                </w:rPr>
                <w:t>[3]</w:t>
              </w:r>
            </w:hyperlink>
          </w:p>
          <w:p w14:paraId="2862A874" w14:textId="77777777" w:rsidR="00EE05BF" w:rsidRDefault="00F264CE">
            <w:pPr>
              <w:pBdr>
                <w:top w:val="nil"/>
                <w:left w:val="nil"/>
                <w:bottom w:val="nil"/>
                <w:right w:val="nil"/>
                <w:between w:val="nil"/>
              </w:pBdr>
              <w:spacing w:after="160" w:line="259" w:lineRule="auto"/>
              <w:jc w:val="center"/>
              <w:rPr>
                <w:rFonts w:ascii="Arial" w:eastAsia="Arial" w:hAnsi="Arial" w:cs="Arial"/>
                <w:color w:val="000000"/>
                <w:sz w:val="21"/>
                <w:szCs w:val="21"/>
              </w:rPr>
            </w:pPr>
            <w:r>
              <w:rPr>
                <w:rFonts w:ascii="Arial" w:eastAsia="Arial" w:hAnsi="Arial" w:cs="Arial"/>
                <w:sz w:val="21"/>
                <w:szCs w:val="21"/>
              </w:rPr>
              <w:t>In some cases, signs and symptoms can also be diseases.</w:t>
            </w:r>
          </w:p>
        </w:tc>
      </w:tr>
      <w:tr w:rsidR="00EE05BF" w14:paraId="350A7E8B" w14:textId="77777777">
        <w:trPr>
          <w:jc w:val="center"/>
        </w:trPr>
        <w:tc>
          <w:tcPr>
            <w:tcW w:w="4675" w:type="dxa"/>
            <w:vAlign w:val="center"/>
          </w:tcPr>
          <w:p w14:paraId="55202959" w14:textId="77777777" w:rsidR="00EE05BF" w:rsidRDefault="00F264CE">
            <w:pPr>
              <w:pBdr>
                <w:top w:val="nil"/>
                <w:left w:val="nil"/>
                <w:bottom w:val="nil"/>
                <w:right w:val="nil"/>
                <w:between w:val="nil"/>
              </w:pBdr>
              <w:spacing w:line="259" w:lineRule="auto"/>
              <w:jc w:val="center"/>
              <w:rPr>
                <w:b/>
                <w:color w:val="C00000"/>
              </w:rPr>
            </w:pPr>
            <w:r>
              <w:rPr>
                <w:b/>
                <w:color w:val="C00000"/>
              </w:rPr>
              <w:t>Autoantibody target</w:t>
            </w:r>
          </w:p>
          <w:p w14:paraId="4DDF10F9" w14:textId="77777777" w:rsidR="00EE05BF" w:rsidRDefault="00F264CE">
            <w:pPr>
              <w:pBdr>
                <w:top w:val="nil"/>
                <w:left w:val="nil"/>
                <w:bottom w:val="nil"/>
                <w:right w:val="nil"/>
                <w:between w:val="nil"/>
              </w:pBdr>
              <w:spacing w:after="160" w:line="259" w:lineRule="auto"/>
              <w:jc w:val="center"/>
              <w:rPr>
                <w:b/>
                <w:color w:val="000000"/>
              </w:rPr>
            </w:pPr>
            <w:r>
              <w:rPr>
                <w:color w:val="000000"/>
              </w:rPr>
              <w:t>(shall be referred to as: “</w:t>
            </w:r>
            <w:r>
              <w:rPr>
                <w:b/>
                <w:color w:val="C00000"/>
              </w:rPr>
              <w:t>T</w:t>
            </w:r>
            <w:r>
              <w:rPr>
                <w:b/>
                <w:color w:val="C00000"/>
              </w:rPr>
              <w:t>arget</w:t>
            </w:r>
            <w:r>
              <w:rPr>
                <w:color w:val="000000"/>
              </w:rPr>
              <w:t>”, for convenience)</w:t>
            </w:r>
          </w:p>
        </w:tc>
        <w:tc>
          <w:tcPr>
            <w:tcW w:w="4675" w:type="dxa"/>
            <w:vAlign w:val="center"/>
          </w:tcPr>
          <w:p w14:paraId="019B11E7" w14:textId="77777777" w:rsidR="00EE05BF" w:rsidRDefault="00F264CE">
            <w:pPr>
              <w:pBdr>
                <w:top w:val="nil"/>
                <w:left w:val="nil"/>
                <w:bottom w:val="nil"/>
                <w:right w:val="nil"/>
                <w:between w:val="nil"/>
              </w:pBdr>
              <w:spacing w:after="160" w:line="259" w:lineRule="auto"/>
              <w:jc w:val="center"/>
              <w:rPr>
                <w:rFonts w:ascii="Arial" w:eastAsia="Arial" w:hAnsi="Arial" w:cs="Arial"/>
                <w:color w:val="000000"/>
              </w:rPr>
            </w:pPr>
            <w:r>
              <w:rPr>
                <w:rFonts w:ascii="Arial" w:eastAsia="Arial" w:hAnsi="Arial" w:cs="Arial"/>
                <w:color w:val="000000"/>
              </w:rPr>
              <w:t>Organ, tissue, cell, protein, or by extension an epitope damaged or recognized by an autoantibody; when it is mentioned as a target of an autoantibody</w:t>
            </w:r>
            <w:r>
              <w:rPr>
                <w:rFonts w:ascii="Arial" w:eastAsia="Arial" w:hAnsi="Arial" w:cs="Arial"/>
              </w:rPr>
              <w:t xml:space="preserve"> (it should not be annotated in a context when it is not mentioned as an autoantibody target).</w:t>
            </w:r>
          </w:p>
        </w:tc>
      </w:tr>
      <w:tr w:rsidR="00EE05BF" w14:paraId="03B1783E" w14:textId="77777777">
        <w:trPr>
          <w:jc w:val="center"/>
        </w:trPr>
        <w:tc>
          <w:tcPr>
            <w:tcW w:w="46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A57A1A" w14:textId="77777777" w:rsidR="00EE05BF" w:rsidRDefault="00F264CE">
            <w:pPr>
              <w:spacing w:line="276" w:lineRule="auto"/>
              <w:jc w:val="center"/>
            </w:pPr>
            <w:r>
              <w:rPr>
                <w:b/>
                <w:color w:val="7030A0"/>
              </w:rPr>
              <w:t>Location</w:t>
            </w:r>
          </w:p>
        </w:tc>
        <w:tc>
          <w:tcPr>
            <w:tcW w:w="46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4A3A75" w14:textId="77777777" w:rsidR="00EE05BF" w:rsidRDefault="00F264CE">
            <w:pPr>
              <w:spacing w:line="276" w:lineRule="auto"/>
              <w:rPr>
                <w:rFonts w:ascii="Arial" w:eastAsia="Arial" w:hAnsi="Arial" w:cs="Arial"/>
                <w:color w:val="C00000"/>
              </w:rPr>
            </w:pPr>
            <w:r>
              <w:rPr>
                <w:rFonts w:ascii="Arial" w:eastAsia="Arial" w:hAnsi="Arial" w:cs="Arial"/>
              </w:rPr>
              <w:t xml:space="preserve">The location of an </w:t>
            </w:r>
            <w:r>
              <w:rPr>
                <w:rFonts w:ascii="Arial" w:eastAsia="Arial" w:hAnsi="Arial" w:cs="Arial"/>
                <w:color w:val="3366CC"/>
              </w:rPr>
              <w:t>Autoantibody</w:t>
            </w:r>
            <w:r>
              <w:rPr>
                <w:rFonts w:ascii="Arial" w:eastAsia="Arial" w:hAnsi="Arial" w:cs="Arial"/>
              </w:rPr>
              <w:t xml:space="preserve"> in a tissue, organ or structure of the body  (e.g. cerebrospinal fluid, blood); where it can be found. A location is not an autoantibody target, nor the location of a </w:t>
            </w:r>
            <w:r>
              <w:rPr>
                <w:rFonts w:ascii="Arial" w:eastAsia="Arial" w:hAnsi="Arial" w:cs="Arial"/>
                <w:color w:val="C00000"/>
              </w:rPr>
              <w:t>Target.</w:t>
            </w:r>
          </w:p>
        </w:tc>
      </w:tr>
    </w:tbl>
    <w:p w14:paraId="4A5E9EEA" w14:textId="77777777" w:rsidR="00EE05BF" w:rsidRDefault="00EE05BF">
      <w:pPr>
        <w:pBdr>
          <w:top w:val="nil"/>
          <w:left w:val="nil"/>
          <w:bottom w:val="nil"/>
          <w:right w:val="nil"/>
          <w:between w:val="nil"/>
        </w:pBdr>
        <w:ind w:left="720"/>
        <w:rPr>
          <w:color w:val="000000"/>
        </w:rPr>
      </w:pPr>
    </w:p>
    <w:p w14:paraId="2B036049" w14:textId="77777777" w:rsidR="00EE05BF" w:rsidRDefault="00F264CE">
      <w:pPr>
        <w:pStyle w:val="Titre3"/>
      </w:pPr>
      <w:r>
        <w:t>Relations</w:t>
      </w:r>
    </w:p>
    <w:tbl>
      <w:tblPr>
        <w:tblStyle w:val="a0"/>
        <w:tblW w:w="862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2875"/>
        <w:gridCol w:w="2875"/>
      </w:tblGrid>
      <w:tr w:rsidR="00EE05BF" w14:paraId="6D9500A0" w14:textId="77777777">
        <w:tc>
          <w:tcPr>
            <w:tcW w:w="2875" w:type="dxa"/>
            <w:shd w:val="clear" w:color="auto" w:fill="D0CECE"/>
            <w:vAlign w:val="center"/>
          </w:tcPr>
          <w:p w14:paraId="3B918BDD" w14:textId="77777777" w:rsidR="00EE05BF" w:rsidRDefault="00F264CE">
            <w:pPr>
              <w:pBdr>
                <w:top w:val="nil"/>
                <w:left w:val="nil"/>
                <w:bottom w:val="nil"/>
                <w:right w:val="nil"/>
                <w:between w:val="nil"/>
              </w:pBdr>
              <w:spacing w:after="160" w:line="259" w:lineRule="auto"/>
              <w:jc w:val="center"/>
              <w:rPr>
                <w:b/>
                <w:color w:val="000000"/>
              </w:rPr>
            </w:pPr>
            <w:r>
              <w:rPr>
                <w:b/>
                <w:color w:val="000000"/>
              </w:rPr>
              <w:t>Type of relation</w:t>
            </w:r>
          </w:p>
        </w:tc>
        <w:tc>
          <w:tcPr>
            <w:tcW w:w="2875" w:type="dxa"/>
            <w:shd w:val="clear" w:color="auto" w:fill="D0CECE"/>
            <w:vAlign w:val="center"/>
          </w:tcPr>
          <w:p w14:paraId="59AF71BA" w14:textId="77777777" w:rsidR="00EE05BF" w:rsidRDefault="00F264CE">
            <w:pPr>
              <w:pBdr>
                <w:top w:val="nil"/>
                <w:left w:val="nil"/>
                <w:bottom w:val="nil"/>
                <w:right w:val="nil"/>
                <w:between w:val="nil"/>
              </w:pBdr>
              <w:spacing w:after="160" w:line="259" w:lineRule="auto"/>
              <w:jc w:val="center"/>
              <w:rPr>
                <w:b/>
                <w:color w:val="000000"/>
              </w:rPr>
            </w:pPr>
            <w:r>
              <w:rPr>
                <w:b/>
                <w:color w:val="000000"/>
              </w:rPr>
              <w:t>Definition</w:t>
            </w:r>
          </w:p>
        </w:tc>
        <w:tc>
          <w:tcPr>
            <w:tcW w:w="2875" w:type="dxa"/>
            <w:shd w:val="clear" w:color="auto" w:fill="D0CECE"/>
          </w:tcPr>
          <w:p w14:paraId="3AAAE19C" w14:textId="77777777" w:rsidR="00EE05BF" w:rsidRDefault="00F264CE">
            <w:pPr>
              <w:pBdr>
                <w:top w:val="nil"/>
                <w:left w:val="nil"/>
                <w:bottom w:val="nil"/>
                <w:right w:val="nil"/>
                <w:between w:val="nil"/>
              </w:pBdr>
              <w:spacing w:line="259" w:lineRule="auto"/>
              <w:jc w:val="center"/>
              <w:rPr>
                <w:b/>
                <w:color w:val="000000"/>
              </w:rPr>
            </w:pPr>
            <w:r>
              <w:rPr>
                <w:b/>
                <w:color w:val="000000"/>
              </w:rPr>
              <w:t>Examples</w:t>
            </w:r>
          </w:p>
          <w:p w14:paraId="489DECDF" w14:textId="77777777" w:rsidR="00EE05BF" w:rsidRDefault="00F264CE">
            <w:pPr>
              <w:pBdr>
                <w:top w:val="nil"/>
                <w:left w:val="nil"/>
                <w:bottom w:val="nil"/>
                <w:right w:val="nil"/>
                <w:between w:val="nil"/>
              </w:pBdr>
              <w:spacing w:after="160" w:line="259" w:lineRule="auto"/>
              <w:jc w:val="center"/>
              <w:rPr>
                <w:b/>
                <w:color w:val="000000"/>
                <w:sz w:val="18"/>
                <w:szCs w:val="18"/>
              </w:rPr>
            </w:pPr>
            <w:r>
              <w:rPr>
                <w:b/>
                <w:color w:val="000000"/>
                <w:sz w:val="18"/>
                <w:szCs w:val="18"/>
              </w:rPr>
              <w:t>Predicate(subject, object)</w:t>
            </w:r>
          </w:p>
        </w:tc>
      </w:tr>
      <w:tr w:rsidR="00EE05BF" w14:paraId="0281FB07" w14:textId="77777777">
        <w:trPr>
          <w:trHeight w:val="803"/>
        </w:trPr>
        <w:tc>
          <w:tcPr>
            <w:tcW w:w="2875" w:type="dxa"/>
            <w:vMerge w:val="restart"/>
            <w:vAlign w:val="center"/>
          </w:tcPr>
          <w:p w14:paraId="0845DD42" w14:textId="77777777" w:rsidR="00EE05BF" w:rsidRDefault="00F264CE">
            <w:pPr>
              <w:pBdr>
                <w:top w:val="nil"/>
                <w:left w:val="nil"/>
                <w:bottom w:val="nil"/>
                <w:right w:val="nil"/>
                <w:between w:val="nil"/>
              </w:pBdr>
              <w:spacing w:line="259" w:lineRule="auto"/>
              <w:jc w:val="center"/>
              <w:rPr>
                <w:b/>
              </w:rPr>
            </w:pPr>
            <w:proofErr w:type="spellStart"/>
            <w:r>
              <w:rPr>
                <w:b/>
                <w:color w:val="000000"/>
              </w:rPr>
              <w:t>isAssociatedWith</w:t>
            </w:r>
            <w:proofErr w:type="spellEnd"/>
          </w:p>
          <w:p w14:paraId="7B45EC70" w14:textId="77777777" w:rsidR="00EE05BF" w:rsidRDefault="00F264CE">
            <w:pPr>
              <w:pBdr>
                <w:top w:val="nil"/>
                <w:left w:val="nil"/>
                <w:bottom w:val="nil"/>
                <w:right w:val="nil"/>
                <w:between w:val="nil"/>
              </w:pBdr>
              <w:spacing w:line="259" w:lineRule="auto"/>
              <w:jc w:val="center"/>
              <w:rPr>
                <w:color w:val="BF8F00"/>
              </w:rPr>
            </w:pPr>
            <w:r>
              <w:rPr>
                <w:b/>
                <w:color w:val="767171"/>
              </w:rPr>
              <w:t>domain</w:t>
            </w:r>
            <w:r>
              <w:t xml:space="preserve">: </w:t>
            </w:r>
            <w:r>
              <w:rPr>
                <w:color w:val="70AD47"/>
              </w:rPr>
              <w:t>Disease</w:t>
            </w:r>
            <w:r>
              <w:t xml:space="preserve">, </w:t>
            </w:r>
            <w:r>
              <w:rPr>
                <w:color w:val="4472C4"/>
              </w:rPr>
              <w:t xml:space="preserve">Autoantibody, </w:t>
            </w:r>
            <w:proofErr w:type="spellStart"/>
            <w:r>
              <w:rPr>
                <w:color w:val="BF8F00"/>
              </w:rPr>
              <w:t>Clinical_sign</w:t>
            </w:r>
            <w:proofErr w:type="spellEnd"/>
          </w:p>
          <w:p w14:paraId="448C7F1F" w14:textId="77777777" w:rsidR="00EE05BF" w:rsidRDefault="00F264CE">
            <w:pPr>
              <w:pBdr>
                <w:top w:val="nil"/>
                <w:left w:val="nil"/>
                <w:bottom w:val="nil"/>
                <w:right w:val="nil"/>
                <w:between w:val="nil"/>
              </w:pBdr>
              <w:spacing w:line="259" w:lineRule="auto"/>
              <w:jc w:val="center"/>
              <w:rPr>
                <w:b/>
                <w:color w:val="767171"/>
              </w:rPr>
            </w:pPr>
            <w:r>
              <w:rPr>
                <w:b/>
                <w:color w:val="767171"/>
              </w:rPr>
              <w:t>range</w:t>
            </w:r>
            <w:r>
              <w:t xml:space="preserve">: </w:t>
            </w:r>
            <w:r>
              <w:rPr>
                <w:color w:val="5B9BD5"/>
              </w:rPr>
              <w:t>Autoantibody</w:t>
            </w:r>
            <w:r>
              <w:t xml:space="preserve">, </w:t>
            </w:r>
            <w:proofErr w:type="spellStart"/>
            <w:r>
              <w:rPr>
                <w:color w:val="BF8F00"/>
              </w:rPr>
              <w:t>Clinical_sign</w:t>
            </w:r>
            <w:proofErr w:type="spellEnd"/>
            <w:r>
              <w:t xml:space="preserve">, </w:t>
            </w:r>
            <w:r>
              <w:rPr>
                <w:color w:val="70AD47"/>
              </w:rPr>
              <w:t>Disease</w:t>
            </w:r>
          </w:p>
        </w:tc>
        <w:tc>
          <w:tcPr>
            <w:tcW w:w="2875" w:type="dxa"/>
            <w:vMerge w:val="restart"/>
            <w:vAlign w:val="center"/>
          </w:tcPr>
          <w:p w14:paraId="5CF59A9B" w14:textId="77777777" w:rsidR="00EE05BF" w:rsidRDefault="00F264CE">
            <w:pPr>
              <w:pBdr>
                <w:top w:val="nil"/>
                <w:left w:val="nil"/>
                <w:bottom w:val="nil"/>
                <w:right w:val="nil"/>
                <w:between w:val="nil"/>
              </w:pBdr>
              <w:spacing w:after="160" w:line="259" w:lineRule="auto"/>
              <w:jc w:val="center"/>
              <w:rPr>
                <w:color w:val="000000"/>
              </w:rPr>
            </w:pPr>
            <w:r>
              <w:rPr>
                <w:color w:val="000000"/>
              </w:rPr>
              <w:t xml:space="preserve">Relation to use when the </w:t>
            </w:r>
            <w:r>
              <w:t xml:space="preserve">text </w:t>
            </w:r>
            <w:r>
              <w:rPr>
                <w:color w:val="000000"/>
              </w:rPr>
              <w:t xml:space="preserve">explicitly indicates a link of any type between 2 entities, if a more specific relation cannot be used. (“Entity1” </w:t>
            </w:r>
            <w:proofErr w:type="spellStart"/>
            <w:r>
              <w:rPr>
                <w:color w:val="000000"/>
              </w:rPr>
              <w:t>isAssociatedWith</w:t>
            </w:r>
            <w:proofErr w:type="spellEnd"/>
            <w:r>
              <w:rPr>
                <w:color w:val="000000"/>
              </w:rPr>
              <w:t xml:space="preserve"> “Entity2”)</w:t>
            </w:r>
          </w:p>
          <w:p w14:paraId="55391E0C" w14:textId="77777777" w:rsidR="00EE05BF" w:rsidRDefault="00F264CE">
            <w:pPr>
              <w:pBdr>
                <w:top w:val="nil"/>
                <w:left w:val="nil"/>
                <w:bottom w:val="nil"/>
                <w:right w:val="nil"/>
                <w:between w:val="nil"/>
              </w:pBdr>
              <w:spacing w:after="160" w:line="259" w:lineRule="auto"/>
              <w:jc w:val="center"/>
              <w:rPr>
                <w:color w:val="5B9BD5"/>
              </w:rPr>
            </w:pPr>
            <w:r>
              <w:lastRenderedPageBreak/>
              <w:t xml:space="preserve">Do not link 2 autoantibodies. One of the two entities must be an </w:t>
            </w:r>
            <w:r>
              <w:rPr>
                <w:color w:val="3366CC"/>
              </w:rPr>
              <w:t>A</w:t>
            </w:r>
            <w:r>
              <w:rPr>
                <w:color w:val="4472C4"/>
              </w:rPr>
              <w:t>utoantibody</w:t>
            </w:r>
            <w:r>
              <w:t xml:space="preserve">, except in the case of a link between a </w:t>
            </w:r>
            <w:r>
              <w:rPr>
                <w:color w:val="70AD47"/>
              </w:rPr>
              <w:t>Disease</w:t>
            </w:r>
            <w:r>
              <w:t xml:space="preserve"> and a </w:t>
            </w:r>
            <w:proofErr w:type="spellStart"/>
            <w:r>
              <w:rPr>
                <w:color w:val="BF9000"/>
              </w:rPr>
              <w:t>Clinical_sign</w:t>
            </w:r>
            <w:proofErr w:type="spellEnd"/>
            <w:r>
              <w:rPr>
                <w:color w:val="BF9000"/>
              </w:rPr>
              <w:t xml:space="preserve"> </w:t>
            </w:r>
            <w:r>
              <w:t>if the</w:t>
            </w:r>
            <w:r>
              <w:rPr>
                <w:color w:val="BF9000"/>
              </w:rPr>
              <w:t xml:space="preserve"> </w:t>
            </w:r>
            <w:proofErr w:type="spellStart"/>
            <w:r>
              <w:rPr>
                <w:color w:val="BF9000"/>
              </w:rPr>
              <w:t>Clinical_sign</w:t>
            </w:r>
            <w:proofErr w:type="spellEnd"/>
            <w:r>
              <w:rPr>
                <w:color w:val="BF9000"/>
              </w:rPr>
              <w:t xml:space="preserve"> </w:t>
            </w:r>
            <w:r>
              <w:t xml:space="preserve">mentions an </w:t>
            </w:r>
            <w:r>
              <w:rPr>
                <w:color w:val="5B9BD5"/>
              </w:rPr>
              <w:t>Autoantibody</w:t>
            </w:r>
          </w:p>
          <w:p w14:paraId="0B42A83A" w14:textId="77777777" w:rsidR="00EE05BF" w:rsidRDefault="00F264CE">
            <w:pPr>
              <w:pBdr>
                <w:top w:val="nil"/>
                <w:left w:val="nil"/>
                <w:bottom w:val="nil"/>
                <w:right w:val="nil"/>
                <w:between w:val="nil"/>
              </w:pBdr>
              <w:spacing w:after="160" w:line="259" w:lineRule="auto"/>
              <w:jc w:val="center"/>
              <w:rPr>
                <w:b/>
              </w:rPr>
            </w:pPr>
            <w:r>
              <w:rPr>
                <w:b/>
              </w:rPr>
              <w:t>(symmetrical relation)</w:t>
            </w:r>
          </w:p>
        </w:tc>
        <w:tc>
          <w:tcPr>
            <w:tcW w:w="2875" w:type="dxa"/>
          </w:tcPr>
          <w:p w14:paraId="173C61D6" w14:textId="77777777" w:rsidR="00EE05BF" w:rsidRDefault="00F264CE">
            <w:pPr>
              <w:pBdr>
                <w:top w:val="nil"/>
                <w:left w:val="nil"/>
                <w:bottom w:val="nil"/>
                <w:right w:val="nil"/>
                <w:between w:val="nil"/>
              </w:pBdr>
              <w:spacing w:after="160" w:line="259" w:lineRule="auto"/>
              <w:jc w:val="center"/>
              <w:rPr>
                <w:color w:val="000000"/>
              </w:rPr>
            </w:pPr>
            <w:r>
              <w:rPr>
                <w:color w:val="000000"/>
              </w:rPr>
              <w:lastRenderedPageBreak/>
              <w:t>anti-Ma2-associated paraneoplastic syndrome</w:t>
            </w:r>
          </w:p>
        </w:tc>
      </w:tr>
      <w:tr w:rsidR="00EE05BF" w14:paraId="257E5B4B" w14:textId="77777777">
        <w:trPr>
          <w:trHeight w:val="802"/>
        </w:trPr>
        <w:tc>
          <w:tcPr>
            <w:tcW w:w="2875" w:type="dxa"/>
            <w:vMerge/>
            <w:vAlign w:val="center"/>
          </w:tcPr>
          <w:p w14:paraId="4F87FC6E" w14:textId="77777777" w:rsidR="00EE05BF" w:rsidRDefault="00EE05BF">
            <w:pPr>
              <w:widowControl w:val="0"/>
              <w:pBdr>
                <w:top w:val="nil"/>
                <w:left w:val="nil"/>
                <w:bottom w:val="nil"/>
                <w:right w:val="nil"/>
                <w:between w:val="nil"/>
              </w:pBdr>
              <w:spacing w:line="276" w:lineRule="auto"/>
              <w:rPr>
                <w:color w:val="000000"/>
              </w:rPr>
            </w:pPr>
          </w:p>
        </w:tc>
        <w:tc>
          <w:tcPr>
            <w:tcW w:w="2875" w:type="dxa"/>
            <w:vMerge/>
            <w:vAlign w:val="center"/>
          </w:tcPr>
          <w:p w14:paraId="2EEBED58" w14:textId="77777777" w:rsidR="00EE05BF" w:rsidRDefault="00EE05BF">
            <w:pPr>
              <w:widowControl w:val="0"/>
              <w:pBdr>
                <w:top w:val="nil"/>
                <w:left w:val="nil"/>
                <w:bottom w:val="nil"/>
                <w:right w:val="nil"/>
                <w:between w:val="nil"/>
              </w:pBdr>
              <w:spacing w:line="276" w:lineRule="auto"/>
              <w:rPr>
                <w:color w:val="000000"/>
              </w:rPr>
            </w:pPr>
          </w:p>
        </w:tc>
        <w:tc>
          <w:tcPr>
            <w:tcW w:w="2875" w:type="dxa"/>
          </w:tcPr>
          <w:p w14:paraId="2BFD0A3C" w14:textId="77777777" w:rsidR="00EE05BF" w:rsidRDefault="00F264CE">
            <w:pPr>
              <w:pBdr>
                <w:top w:val="nil"/>
                <w:left w:val="nil"/>
                <w:bottom w:val="nil"/>
                <w:right w:val="nil"/>
                <w:between w:val="nil"/>
              </w:pBdr>
              <w:spacing w:after="160" w:line="259" w:lineRule="auto"/>
              <w:jc w:val="center"/>
              <w:rPr>
                <w:color w:val="000000"/>
              </w:rPr>
            </w:pPr>
            <w:proofErr w:type="spellStart"/>
            <w:r>
              <w:rPr>
                <w:color w:val="000000"/>
              </w:rPr>
              <w:t>isAssociatedWith</w:t>
            </w:r>
            <w:proofErr w:type="spellEnd"/>
            <w:r>
              <w:rPr>
                <w:color w:val="000000"/>
              </w:rPr>
              <w:t>(“</w:t>
            </w:r>
            <w:r>
              <w:rPr>
                <w:color w:val="4472C4"/>
              </w:rPr>
              <w:t>anti-Ma2</w:t>
            </w:r>
            <w:r>
              <w:rPr>
                <w:color w:val="000000"/>
              </w:rPr>
              <w:t>”, “</w:t>
            </w:r>
            <w:r>
              <w:rPr>
                <w:color w:val="BF8F00"/>
              </w:rPr>
              <w:t>paraneoplastic syndrome</w:t>
            </w:r>
            <w:r>
              <w:rPr>
                <w:color w:val="000000"/>
              </w:rPr>
              <w:t>”)</w:t>
            </w:r>
          </w:p>
        </w:tc>
      </w:tr>
      <w:tr w:rsidR="00EE05BF" w14:paraId="0B349EB1" w14:textId="77777777">
        <w:trPr>
          <w:trHeight w:val="803"/>
        </w:trPr>
        <w:tc>
          <w:tcPr>
            <w:tcW w:w="2875"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810843" w14:textId="77777777" w:rsidR="00EE05BF" w:rsidRDefault="00F264CE">
            <w:pPr>
              <w:spacing w:line="276" w:lineRule="auto"/>
              <w:jc w:val="center"/>
              <w:rPr>
                <w:b/>
              </w:rPr>
            </w:pPr>
            <w:proofErr w:type="spellStart"/>
            <w:r>
              <w:rPr>
                <w:b/>
              </w:rPr>
              <w:t>isNotAssociatedWith</w:t>
            </w:r>
            <w:proofErr w:type="spellEnd"/>
          </w:p>
          <w:p w14:paraId="2026DF23" w14:textId="77777777" w:rsidR="00EE05BF" w:rsidRDefault="00F264CE">
            <w:pPr>
              <w:spacing w:line="276" w:lineRule="auto"/>
              <w:jc w:val="center"/>
              <w:rPr>
                <w:color w:val="BF8F00"/>
              </w:rPr>
            </w:pPr>
            <w:r>
              <w:rPr>
                <w:b/>
                <w:color w:val="767171"/>
              </w:rPr>
              <w:t>domain</w:t>
            </w:r>
            <w:r>
              <w:rPr>
                <w:b/>
              </w:rPr>
              <w:t xml:space="preserve">: </w:t>
            </w:r>
            <w:r>
              <w:rPr>
                <w:color w:val="70AD47"/>
              </w:rPr>
              <w:t>Disease</w:t>
            </w:r>
            <w:r>
              <w:t xml:space="preserve">, </w:t>
            </w:r>
            <w:r>
              <w:rPr>
                <w:color w:val="4472C4"/>
              </w:rPr>
              <w:t>Autoantibody</w:t>
            </w:r>
            <w:r>
              <w:t xml:space="preserve">, </w:t>
            </w:r>
            <w:proofErr w:type="spellStart"/>
            <w:r>
              <w:rPr>
                <w:color w:val="BF8F00"/>
              </w:rPr>
              <w:t>Clinical_sign</w:t>
            </w:r>
            <w:proofErr w:type="spellEnd"/>
          </w:p>
          <w:p w14:paraId="0E4B11AB" w14:textId="77777777" w:rsidR="00EE05BF" w:rsidRDefault="00F264CE">
            <w:pPr>
              <w:spacing w:line="276" w:lineRule="auto"/>
              <w:jc w:val="center"/>
              <w:rPr>
                <w:color w:val="70AD47"/>
              </w:rPr>
            </w:pPr>
            <w:r>
              <w:rPr>
                <w:b/>
                <w:color w:val="767171"/>
              </w:rPr>
              <w:t>range</w:t>
            </w:r>
            <w:r>
              <w:rPr>
                <w:b/>
              </w:rPr>
              <w:t xml:space="preserve">: </w:t>
            </w:r>
            <w:r>
              <w:rPr>
                <w:color w:val="5B9BD5"/>
              </w:rPr>
              <w:t>Autoantibody</w:t>
            </w:r>
            <w:r>
              <w:t xml:space="preserve">, </w:t>
            </w:r>
            <w:proofErr w:type="spellStart"/>
            <w:r>
              <w:rPr>
                <w:color w:val="BF8F00"/>
              </w:rPr>
              <w:t>Clinical_sign</w:t>
            </w:r>
            <w:proofErr w:type="spellEnd"/>
            <w:r>
              <w:t xml:space="preserve">, </w:t>
            </w:r>
            <w:r>
              <w:rPr>
                <w:color w:val="70AD47"/>
              </w:rPr>
              <w:t>Disease</w:t>
            </w:r>
          </w:p>
        </w:tc>
        <w:tc>
          <w:tcPr>
            <w:tcW w:w="287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F17953" w14:textId="77777777" w:rsidR="00EE05BF" w:rsidRDefault="00F264CE">
            <w:pPr>
              <w:spacing w:line="276" w:lineRule="auto"/>
              <w:jc w:val="center"/>
            </w:pPr>
            <w:r>
              <w:t xml:space="preserve">Relation to use when the text denies a link of any type between 2 entities or if there is a suspected negative association between 2 entities. </w:t>
            </w:r>
          </w:p>
          <w:p w14:paraId="7AC86BCC" w14:textId="77777777" w:rsidR="00EE05BF" w:rsidRDefault="00F264CE">
            <w:pPr>
              <w:spacing w:line="276" w:lineRule="auto"/>
              <w:jc w:val="center"/>
            </w:pPr>
            <w:proofErr w:type="spellStart"/>
            <w:r>
              <w:t>isNotAssociatedWith</w:t>
            </w:r>
            <w:proofErr w:type="spellEnd"/>
            <w:r>
              <w:t xml:space="preserve"> (“Entity1”, “Entity2”)</w:t>
            </w:r>
          </w:p>
          <w:p w14:paraId="75DC5AAE" w14:textId="77777777" w:rsidR="00EE05BF" w:rsidRDefault="00EE05BF">
            <w:pPr>
              <w:spacing w:line="276" w:lineRule="auto"/>
              <w:jc w:val="center"/>
            </w:pPr>
          </w:p>
          <w:p w14:paraId="218FC2DE" w14:textId="77777777" w:rsidR="00EE05BF" w:rsidRDefault="00F264CE">
            <w:pPr>
              <w:spacing w:after="160" w:line="259" w:lineRule="auto"/>
              <w:jc w:val="center"/>
            </w:pPr>
            <w:r>
              <w:rPr>
                <w:b/>
              </w:rPr>
              <w:t>(symmetrical relation)</w:t>
            </w:r>
          </w:p>
        </w:tc>
        <w:tc>
          <w:tcPr>
            <w:tcW w:w="2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3389A7" w14:textId="77777777" w:rsidR="00EE05BF" w:rsidRDefault="00F264CE">
            <w:pPr>
              <w:spacing w:line="276" w:lineRule="auto"/>
              <w:jc w:val="center"/>
            </w:pPr>
            <w:r>
              <w:t>Thyroid cancer was not associated with elevat</w:t>
            </w:r>
            <w:r>
              <w:t>ed levels of thyroid peroxidase antibodies</w:t>
            </w:r>
          </w:p>
        </w:tc>
      </w:tr>
      <w:tr w:rsidR="00EE05BF" w14:paraId="3AFFECFE" w14:textId="77777777">
        <w:trPr>
          <w:trHeight w:val="2145"/>
        </w:trPr>
        <w:tc>
          <w:tcPr>
            <w:tcW w:w="287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CB8A9AA" w14:textId="77777777" w:rsidR="00EE05BF" w:rsidRDefault="00EE05BF">
            <w:pPr>
              <w:spacing w:after="160" w:line="259" w:lineRule="auto"/>
              <w:ind w:left="720"/>
              <w:jc w:val="center"/>
            </w:pPr>
          </w:p>
        </w:tc>
        <w:tc>
          <w:tcPr>
            <w:tcW w:w="2875"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5351D5E5" w14:textId="77777777" w:rsidR="00EE05BF" w:rsidRDefault="00EE05BF">
            <w:pPr>
              <w:spacing w:after="160" w:line="259" w:lineRule="auto"/>
              <w:ind w:left="720"/>
              <w:jc w:val="center"/>
            </w:pPr>
          </w:p>
        </w:tc>
        <w:tc>
          <w:tcPr>
            <w:tcW w:w="28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784D7" w14:textId="77777777" w:rsidR="00EE05BF" w:rsidRDefault="00F264CE">
            <w:pPr>
              <w:spacing w:line="276" w:lineRule="auto"/>
              <w:jc w:val="center"/>
            </w:pPr>
            <w:proofErr w:type="spellStart"/>
            <w:r>
              <w:t>isNotAssociated</w:t>
            </w:r>
            <w:proofErr w:type="spellEnd"/>
            <w:r>
              <w:t>(“</w:t>
            </w:r>
            <w:r>
              <w:rPr>
                <w:color w:val="70AD47"/>
              </w:rPr>
              <w:t>thyroid cancer</w:t>
            </w:r>
            <w:r>
              <w:t>”, “</w:t>
            </w:r>
            <w:r>
              <w:rPr>
                <w:color w:val="BF8F00"/>
              </w:rPr>
              <w:t>elevated levels of thyroid peroxidase antibodies</w:t>
            </w:r>
            <w:r>
              <w:t>”)</w:t>
            </w:r>
          </w:p>
        </w:tc>
      </w:tr>
      <w:tr w:rsidR="00EE05BF" w14:paraId="2DFC2FDD" w14:textId="77777777">
        <w:trPr>
          <w:trHeight w:val="1080"/>
        </w:trPr>
        <w:tc>
          <w:tcPr>
            <w:tcW w:w="2875"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33B1A8" w14:textId="77777777" w:rsidR="00EE05BF" w:rsidRDefault="00F264CE">
            <w:pPr>
              <w:widowControl w:val="0"/>
              <w:spacing w:line="276" w:lineRule="auto"/>
              <w:jc w:val="center"/>
              <w:rPr>
                <w:b/>
              </w:rPr>
            </w:pPr>
            <w:proofErr w:type="spellStart"/>
            <w:r>
              <w:rPr>
                <w:b/>
              </w:rPr>
              <w:t>mayBeAssociatedWith</w:t>
            </w:r>
            <w:proofErr w:type="spellEnd"/>
          </w:p>
          <w:p w14:paraId="6533244A" w14:textId="77777777" w:rsidR="00EE05BF" w:rsidRDefault="00F264CE">
            <w:pPr>
              <w:widowControl w:val="0"/>
              <w:spacing w:line="276" w:lineRule="auto"/>
              <w:jc w:val="center"/>
              <w:rPr>
                <w:color w:val="BF8F00"/>
              </w:rPr>
            </w:pPr>
            <w:r>
              <w:rPr>
                <w:b/>
                <w:color w:val="808080"/>
              </w:rPr>
              <w:t>domain</w:t>
            </w:r>
            <w:r>
              <w:rPr>
                <w:b/>
              </w:rPr>
              <w:t xml:space="preserve">: </w:t>
            </w:r>
            <w:r>
              <w:rPr>
                <w:color w:val="70AD47"/>
              </w:rPr>
              <w:t>Disease</w:t>
            </w:r>
            <w:r>
              <w:t xml:space="preserve">, </w:t>
            </w:r>
            <w:r>
              <w:rPr>
                <w:color w:val="4472C4"/>
              </w:rPr>
              <w:t>Autoantibody</w:t>
            </w:r>
            <w:r>
              <w:t xml:space="preserve">, </w:t>
            </w:r>
            <w:proofErr w:type="spellStart"/>
            <w:r>
              <w:rPr>
                <w:color w:val="BF8F00"/>
              </w:rPr>
              <w:t>Clinical_sign</w:t>
            </w:r>
            <w:proofErr w:type="spellEnd"/>
          </w:p>
          <w:p w14:paraId="760415CD" w14:textId="77777777" w:rsidR="00EE05BF" w:rsidRDefault="00F264CE">
            <w:pPr>
              <w:spacing w:line="259" w:lineRule="auto"/>
              <w:jc w:val="center"/>
              <w:rPr>
                <w:color w:val="BF8F00"/>
              </w:rPr>
            </w:pPr>
            <w:r>
              <w:rPr>
                <w:b/>
                <w:color w:val="767171"/>
              </w:rPr>
              <w:t>range</w:t>
            </w:r>
            <w:r>
              <w:t xml:space="preserve">: </w:t>
            </w:r>
            <w:r>
              <w:rPr>
                <w:color w:val="5B9BD5"/>
              </w:rPr>
              <w:t>Autoantibody</w:t>
            </w:r>
            <w:r>
              <w:t xml:space="preserve">, </w:t>
            </w:r>
            <w:proofErr w:type="spellStart"/>
            <w:r>
              <w:rPr>
                <w:color w:val="BF8F00"/>
              </w:rPr>
              <w:t>Clinical_sign</w:t>
            </w:r>
            <w:proofErr w:type="spellEnd"/>
            <w:r>
              <w:t xml:space="preserve">, </w:t>
            </w:r>
            <w:r>
              <w:rPr>
                <w:color w:val="70AD47"/>
              </w:rPr>
              <w:t>Disease</w:t>
            </w:r>
          </w:p>
        </w:tc>
        <w:tc>
          <w:tcPr>
            <w:tcW w:w="287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C56165" w14:textId="77777777" w:rsidR="00EE05BF" w:rsidRDefault="00F264CE">
            <w:pPr>
              <w:widowControl w:val="0"/>
              <w:spacing w:line="276" w:lineRule="auto"/>
              <w:jc w:val="center"/>
            </w:pPr>
            <w:r>
              <w:t xml:space="preserve">Relation to use when a relation between 2 entities is clearly mentioned as uncertain. Otherwise, by default, use </w:t>
            </w:r>
            <w:proofErr w:type="spellStart"/>
            <w:r>
              <w:t>isAssociatedWith</w:t>
            </w:r>
            <w:proofErr w:type="spellEnd"/>
            <w:r>
              <w:t>.</w:t>
            </w:r>
          </w:p>
          <w:p w14:paraId="50362659" w14:textId="77777777" w:rsidR="00EE05BF" w:rsidRDefault="00EE05BF">
            <w:pPr>
              <w:widowControl w:val="0"/>
              <w:spacing w:line="276" w:lineRule="auto"/>
              <w:jc w:val="center"/>
            </w:pPr>
          </w:p>
          <w:p w14:paraId="486A092F" w14:textId="77777777" w:rsidR="00EE05BF" w:rsidRDefault="00F264CE">
            <w:pPr>
              <w:widowControl w:val="0"/>
              <w:spacing w:line="276" w:lineRule="auto"/>
              <w:jc w:val="center"/>
            </w:pPr>
            <w:proofErr w:type="spellStart"/>
            <w:r>
              <w:t>mayBeAssociatedWith</w:t>
            </w:r>
            <w:proofErr w:type="spellEnd"/>
            <w:r>
              <w:t>(“Entity1”, “Entity2”)</w:t>
            </w:r>
          </w:p>
          <w:p w14:paraId="26EF3CA6" w14:textId="77777777" w:rsidR="00EE05BF" w:rsidRDefault="00EE05BF">
            <w:pPr>
              <w:widowControl w:val="0"/>
              <w:spacing w:line="276" w:lineRule="auto"/>
              <w:jc w:val="center"/>
            </w:pPr>
          </w:p>
          <w:p w14:paraId="42F66759" w14:textId="77777777" w:rsidR="00EE05BF" w:rsidRDefault="00F264CE">
            <w:pPr>
              <w:spacing w:after="160" w:line="259" w:lineRule="auto"/>
              <w:jc w:val="center"/>
            </w:pPr>
            <w:r>
              <w:rPr>
                <w:b/>
              </w:rPr>
              <w:t>(symmetrical relation)</w:t>
            </w:r>
          </w:p>
        </w:tc>
        <w:tc>
          <w:tcPr>
            <w:tcW w:w="2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E7A045" w14:textId="77777777" w:rsidR="00EE05BF" w:rsidRDefault="00F264CE">
            <w:pPr>
              <w:spacing w:line="276" w:lineRule="auto"/>
              <w:jc w:val="center"/>
            </w:pPr>
            <w:r>
              <w:t xml:space="preserve">anti-Saccharomyces cerevisiae antibody (ASCA) may be associated with </w:t>
            </w:r>
            <w:proofErr w:type="spellStart"/>
            <w:r>
              <w:t>pouchitis</w:t>
            </w:r>
            <w:proofErr w:type="spellEnd"/>
            <w:r>
              <w:t xml:space="preserve"> after ileal pouch-anal anastomosis</w:t>
            </w:r>
          </w:p>
        </w:tc>
      </w:tr>
      <w:tr w:rsidR="00EE05BF" w14:paraId="543DAECF" w14:textId="77777777">
        <w:trPr>
          <w:trHeight w:val="1080"/>
        </w:trPr>
        <w:tc>
          <w:tcPr>
            <w:tcW w:w="2875" w:type="dxa"/>
            <w:vMerge/>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C4FEFD" w14:textId="77777777" w:rsidR="00EE05BF" w:rsidRDefault="00EE05BF">
            <w:pPr>
              <w:widowControl w:val="0"/>
              <w:jc w:val="center"/>
              <w:rPr>
                <w:b/>
              </w:rPr>
            </w:pPr>
          </w:p>
        </w:tc>
        <w:tc>
          <w:tcPr>
            <w:tcW w:w="2875" w:type="dxa"/>
            <w:vMerge/>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770841" w14:textId="77777777" w:rsidR="00EE05BF" w:rsidRDefault="00EE05BF">
            <w:pPr>
              <w:widowControl w:val="0"/>
              <w:jc w:val="center"/>
            </w:pPr>
          </w:p>
        </w:tc>
        <w:tc>
          <w:tcPr>
            <w:tcW w:w="2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845F02" w14:textId="77777777" w:rsidR="00EE05BF" w:rsidRDefault="00F264CE">
            <w:pPr>
              <w:spacing w:line="276" w:lineRule="auto"/>
              <w:jc w:val="center"/>
            </w:pPr>
            <w:proofErr w:type="spellStart"/>
            <w:r>
              <w:t>mayBeAssociatedWith</w:t>
            </w:r>
            <w:proofErr w:type="spellEnd"/>
            <w:r>
              <w:t>(“</w:t>
            </w:r>
            <w:r>
              <w:rPr>
                <w:color w:val="5B9BD5"/>
              </w:rPr>
              <w:t>anti-Saccharomyces cerevisiae antibody</w:t>
            </w:r>
            <w:r>
              <w:t>”, “</w:t>
            </w:r>
            <w:proofErr w:type="spellStart"/>
            <w:r>
              <w:rPr>
                <w:color w:val="BF8F00"/>
              </w:rPr>
              <w:t>pouchitis</w:t>
            </w:r>
            <w:proofErr w:type="spellEnd"/>
            <w:r>
              <w:t>”)</w:t>
            </w:r>
          </w:p>
        </w:tc>
      </w:tr>
      <w:tr w:rsidR="00EE05BF" w14:paraId="28F650B4" w14:textId="77777777">
        <w:trPr>
          <w:trHeight w:val="1072"/>
        </w:trPr>
        <w:tc>
          <w:tcPr>
            <w:tcW w:w="2875"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68284B" w14:textId="77777777" w:rsidR="00EE05BF" w:rsidRDefault="00F264CE">
            <w:pPr>
              <w:widowControl w:val="0"/>
              <w:spacing w:line="276" w:lineRule="auto"/>
              <w:jc w:val="center"/>
              <w:rPr>
                <w:b/>
              </w:rPr>
            </w:pPr>
            <w:proofErr w:type="spellStart"/>
            <w:r>
              <w:rPr>
                <w:b/>
              </w:rPr>
              <w:t>isCausedBy</w:t>
            </w:r>
            <w:proofErr w:type="spellEnd"/>
          </w:p>
          <w:p w14:paraId="7FDEB110" w14:textId="77777777" w:rsidR="00EE05BF" w:rsidRDefault="00F264CE">
            <w:pPr>
              <w:widowControl w:val="0"/>
              <w:spacing w:line="276" w:lineRule="auto"/>
              <w:jc w:val="center"/>
              <w:rPr>
                <w:color w:val="BF8F00"/>
              </w:rPr>
            </w:pPr>
            <w:r>
              <w:rPr>
                <w:b/>
                <w:color w:val="767171"/>
              </w:rPr>
              <w:t>domain</w:t>
            </w:r>
            <w:r>
              <w:t xml:space="preserve">: </w:t>
            </w:r>
            <w:r>
              <w:rPr>
                <w:color w:val="70AD47"/>
              </w:rPr>
              <w:t>Disease</w:t>
            </w:r>
            <w:r>
              <w:t xml:space="preserve">, </w:t>
            </w:r>
            <w:proofErr w:type="spellStart"/>
            <w:r>
              <w:rPr>
                <w:color w:val="BF8F00"/>
              </w:rPr>
              <w:t>Clinical_sign</w:t>
            </w:r>
            <w:proofErr w:type="spellEnd"/>
          </w:p>
          <w:p w14:paraId="1D3BC1A1" w14:textId="77777777" w:rsidR="00EE05BF" w:rsidRDefault="00F264CE">
            <w:pPr>
              <w:widowControl w:val="0"/>
              <w:spacing w:line="276" w:lineRule="auto"/>
              <w:jc w:val="center"/>
              <w:rPr>
                <w:color w:val="BF8F00"/>
              </w:rPr>
            </w:pPr>
            <w:r>
              <w:rPr>
                <w:b/>
                <w:color w:val="767171"/>
              </w:rPr>
              <w:t>range</w:t>
            </w:r>
            <w:r>
              <w:t xml:space="preserve">: </w:t>
            </w:r>
            <w:r>
              <w:rPr>
                <w:color w:val="5B9BD5"/>
              </w:rPr>
              <w:t>Autoantibody</w:t>
            </w:r>
            <w:r>
              <w:t xml:space="preserve">, </w:t>
            </w:r>
            <w:r>
              <w:rPr>
                <w:color w:val="70AD47"/>
              </w:rPr>
              <w:t>Disease</w:t>
            </w:r>
            <w:r>
              <w:t>,</w:t>
            </w:r>
            <w:r>
              <w:rPr>
                <w:color w:val="70AD47"/>
              </w:rPr>
              <w:t xml:space="preserve"> </w:t>
            </w:r>
            <w:proofErr w:type="spellStart"/>
            <w:r>
              <w:rPr>
                <w:color w:val="BF8F00"/>
              </w:rPr>
              <w:t>Clinical_sign</w:t>
            </w:r>
            <w:proofErr w:type="spellEnd"/>
          </w:p>
        </w:tc>
        <w:tc>
          <w:tcPr>
            <w:tcW w:w="287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7FF90F" w14:textId="77777777" w:rsidR="00EE05BF" w:rsidRDefault="00F264CE">
            <w:pPr>
              <w:widowControl w:val="0"/>
              <w:spacing w:line="276" w:lineRule="auto"/>
              <w:jc w:val="center"/>
            </w:pPr>
            <w:r>
              <w:t xml:space="preserve">Relation to use when the text indicates an entity is caused by another. </w:t>
            </w:r>
          </w:p>
          <w:p w14:paraId="00827770" w14:textId="77777777" w:rsidR="00EE05BF" w:rsidRDefault="00EE05BF">
            <w:pPr>
              <w:widowControl w:val="0"/>
              <w:spacing w:line="276" w:lineRule="auto"/>
              <w:ind w:left="720"/>
              <w:jc w:val="center"/>
            </w:pPr>
          </w:p>
          <w:p w14:paraId="282CC600" w14:textId="77777777" w:rsidR="00EE05BF" w:rsidRDefault="00F264CE">
            <w:pPr>
              <w:widowControl w:val="0"/>
              <w:spacing w:line="276" w:lineRule="auto"/>
              <w:jc w:val="center"/>
            </w:pPr>
            <w:proofErr w:type="spellStart"/>
            <w:r>
              <w:t>isCausedBy</w:t>
            </w:r>
            <w:proofErr w:type="spellEnd"/>
            <w:r>
              <w:t>(“Consequence”, “Cause”)</w:t>
            </w:r>
          </w:p>
        </w:tc>
        <w:tc>
          <w:tcPr>
            <w:tcW w:w="2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B4BE53" w14:textId="77777777" w:rsidR="00EE05BF" w:rsidRDefault="00F264CE">
            <w:pPr>
              <w:spacing w:line="276" w:lineRule="auto"/>
              <w:jc w:val="center"/>
            </w:pPr>
            <w:r>
              <w:t>anti-Ma2 is a well-characterized onconeural antibody and one of the causes of PCD</w:t>
            </w:r>
          </w:p>
        </w:tc>
      </w:tr>
      <w:tr w:rsidR="00EE05BF" w14:paraId="7AF8F52B" w14:textId="77777777">
        <w:trPr>
          <w:trHeight w:val="1072"/>
        </w:trPr>
        <w:tc>
          <w:tcPr>
            <w:tcW w:w="2875" w:type="dxa"/>
            <w:vMerge/>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82E3C2" w14:textId="77777777" w:rsidR="00EE05BF" w:rsidRDefault="00EE05BF">
            <w:pPr>
              <w:widowControl w:val="0"/>
              <w:jc w:val="center"/>
              <w:rPr>
                <w:b/>
              </w:rPr>
            </w:pPr>
          </w:p>
        </w:tc>
        <w:tc>
          <w:tcPr>
            <w:tcW w:w="2875" w:type="dxa"/>
            <w:vMerge/>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683F34" w14:textId="77777777" w:rsidR="00EE05BF" w:rsidRDefault="00EE05BF">
            <w:pPr>
              <w:widowControl w:val="0"/>
              <w:jc w:val="center"/>
            </w:pPr>
          </w:p>
        </w:tc>
        <w:tc>
          <w:tcPr>
            <w:tcW w:w="2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4D6A6E" w14:textId="77777777" w:rsidR="00EE05BF" w:rsidRDefault="00F264CE">
            <w:pPr>
              <w:spacing w:line="276" w:lineRule="auto"/>
              <w:jc w:val="center"/>
            </w:pPr>
            <w:proofErr w:type="spellStart"/>
            <w:r>
              <w:t>isCausedBy</w:t>
            </w:r>
            <w:proofErr w:type="spellEnd"/>
            <w:r>
              <w:t>(“</w:t>
            </w:r>
            <w:r>
              <w:rPr>
                <w:color w:val="70AD47"/>
              </w:rPr>
              <w:t>PCD</w:t>
            </w:r>
            <w:r>
              <w:t>”, “</w:t>
            </w:r>
            <w:r>
              <w:rPr>
                <w:color w:val="5B9BD5"/>
              </w:rPr>
              <w:t>anti-Ma2</w:t>
            </w:r>
            <w:r>
              <w:t>”)</w:t>
            </w:r>
          </w:p>
        </w:tc>
      </w:tr>
      <w:tr w:rsidR="00EE05BF" w14:paraId="358A70EA" w14:textId="77777777">
        <w:trPr>
          <w:trHeight w:val="1209"/>
        </w:trPr>
        <w:tc>
          <w:tcPr>
            <w:tcW w:w="2875" w:type="dxa"/>
            <w:vMerge w:val="restart"/>
            <w:vAlign w:val="center"/>
          </w:tcPr>
          <w:p w14:paraId="3BE27286" w14:textId="77777777" w:rsidR="00EE05BF" w:rsidRDefault="00F264CE">
            <w:pPr>
              <w:pBdr>
                <w:top w:val="nil"/>
                <w:left w:val="nil"/>
                <w:bottom w:val="nil"/>
                <w:right w:val="nil"/>
                <w:between w:val="nil"/>
              </w:pBdr>
              <w:spacing w:line="259" w:lineRule="auto"/>
              <w:jc w:val="center"/>
              <w:rPr>
                <w:b/>
                <w:color w:val="000000"/>
              </w:rPr>
            </w:pPr>
            <w:proofErr w:type="spellStart"/>
            <w:r>
              <w:rPr>
                <w:b/>
                <w:color w:val="000000"/>
              </w:rPr>
              <w:lastRenderedPageBreak/>
              <w:t>isTargetOf</w:t>
            </w:r>
            <w:proofErr w:type="spellEnd"/>
          </w:p>
          <w:p w14:paraId="79505AEA" w14:textId="77777777" w:rsidR="00EE05BF" w:rsidRDefault="00F264CE">
            <w:pPr>
              <w:pBdr>
                <w:top w:val="nil"/>
                <w:left w:val="nil"/>
                <w:bottom w:val="nil"/>
                <w:right w:val="nil"/>
                <w:between w:val="nil"/>
              </w:pBdr>
              <w:spacing w:line="259" w:lineRule="auto"/>
              <w:jc w:val="center"/>
              <w:rPr>
                <w:color w:val="000000"/>
              </w:rPr>
            </w:pPr>
            <w:r>
              <w:rPr>
                <w:b/>
                <w:color w:val="767171"/>
              </w:rPr>
              <w:t>domain</w:t>
            </w:r>
            <w:r>
              <w:rPr>
                <w:color w:val="000000"/>
              </w:rPr>
              <w:t xml:space="preserve">: </w:t>
            </w:r>
            <w:r>
              <w:rPr>
                <w:color w:val="C00000"/>
              </w:rPr>
              <w:t>T</w:t>
            </w:r>
            <w:r>
              <w:rPr>
                <w:color w:val="C00000"/>
              </w:rPr>
              <w:t>arget</w:t>
            </w:r>
          </w:p>
          <w:p w14:paraId="1ABCB3DA" w14:textId="77777777" w:rsidR="00EE05BF" w:rsidRDefault="00F264CE">
            <w:pPr>
              <w:pBdr>
                <w:top w:val="nil"/>
                <w:left w:val="nil"/>
                <w:bottom w:val="nil"/>
                <w:right w:val="nil"/>
                <w:between w:val="nil"/>
              </w:pBdr>
              <w:spacing w:after="160" w:line="259" w:lineRule="auto"/>
              <w:jc w:val="center"/>
              <w:rPr>
                <w:color w:val="000000"/>
              </w:rPr>
            </w:pPr>
            <w:r>
              <w:rPr>
                <w:b/>
                <w:color w:val="767171"/>
              </w:rPr>
              <w:t>range</w:t>
            </w:r>
            <w:r>
              <w:rPr>
                <w:color w:val="000000"/>
              </w:rPr>
              <w:t xml:space="preserve">: </w:t>
            </w:r>
            <w:r>
              <w:rPr>
                <w:color w:val="5B9BD5"/>
              </w:rPr>
              <w:t>A</w:t>
            </w:r>
            <w:r>
              <w:rPr>
                <w:color w:val="5B9BD5"/>
              </w:rPr>
              <w:t>utoantibody</w:t>
            </w:r>
          </w:p>
        </w:tc>
        <w:tc>
          <w:tcPr>
            <w:tcW w:w="2875" w:type="dxa"/>
            <w:vMerge w:val="restart"/>
            <w:vAlign w:val="center"/>
          </w:tcPr>
          <w:p w14:paraId="544C7AF3" w14:textId="77777777" w:rsidR="00EE05BF" w:rsidRDefault="00F264CE">
            <w:pPr>
              <w:pBdr>
                <w:top w:val="nil"/>
                <w:left w:val="nil"/>
                <w:bottom w:val="nil"/>
                <w:right w:val="nil"/>
                <w:between w:val="nil"/>
              </w:pBdr>
              <w:spacing w:after="160" w:line="259" w:lineRule="auto"/>
              <w:jc w:val="center"/>
            </w:pPr>
            <w:r>
              <w:t>Relation to use when the text indicates a target is recognized by an autoantibody:</w:t>
            </w:r>
          </w:p>
          <w:p w14:paraId="1515A46E" w14:textId="77777777" w:rsidR="00EE05BF" w:rsidRDefault="00F264CE">
            <w:pPr>
              <w:pBdr>
                <w:top w:val="nil"/>
                <w:left w:val="nil"/>
                <w:bottom w:val="nil"/>
                <w:right w:val="nil"/>
                <w:between w:val="nil"/>
              </w:pBdr>
              <w:spacing w:after="160" w:line="259" w:lineRule="auto"/>
              <w:jc w:val="center"/>
            </w:pPr>
            <w:r>
              <w:t xml:space="preserve"> </w:t>
            </w:r>
            <w:proofErr w:type="spellStart"/>
            <w:r>
              <w:t>isTargetOf</w:t>
            </w:r>
            <w:proofErr w:type="spellEnd"/>
            <w:r>
              <w:t xml:space="preserve"> (“Target”, “Autoantibody”)</w:t>
            </w:r>
          </w:p>
          <w:p w14:paraId="7A51D5DE" w14:textId="77777777" w:rsidR="00EE05BF" w:rsidRDefault="00F264CE">
            <w:pPr>
              <w:pBdr>
                <w:top w:val="nil"/>
                <w:left w:val="nil"/>
                <w:bottom w:val="nil"/>
                <w:right w:val="nil"/>
                <w:between w:val="nil"/>
              </w:pBdr>
              <w:spacing w:after="160" w:line="259" w:lineRule="auto"/>
            </w:pPr>
            <w:r>
              <w:t>There is no need to manually annotate that relation when the target is included inside the antibody name, except when it is not immedi</w:t>
            </w:r>
            <w:r>
              <w:t>ately clear (example: multiple targets as in “anti-liver/kidney antibody”.</w:t>
            </w:r>
          </w:p>
        </w:tc>
        <w:tc>
          <w:tcPr>
            <w:tcW w:w="2875" w:type="dxa"/>
          </w:tcPr>
          <w:p w14:paraId="3086918C" w14:textId="77777777" w:rsidR="00EE05BF" w:rsidRDefault="00F264CE">
            <w:pPr>
              <w:pBdr>
                <w:top w:val="nil"/>
                <w:left w:val="nil"/>
                <w:bottom w:val="nil"/>
                <w:right w:val="nil"/>
                <w:between w:val="nil"/>
              </w:pBdr>
              <w:spacing w:after="160" w:line="259" w:lineRule="auto"/>
              <w:jc w:val="center"/>
              <w:rPr>
                <w:color w:val="000000"/>
              </w:rPr>
            </w:pPr>
            <w:r>
              <w:rPr>
                <w:color w:val="000000"/>
              </w:rPr>
              <w:t>antibodies against human thyroid peroxidase</w:t>
            </w:r>
          </w:p>
        </w:tc>
      </w:tr>
      <w:tr w:rsidR="00EE05BF" w14:paraId="1BBAC42F" w14:textId="77777777">
        <w:trPr>
          <w:trHeight w:val="1207"/>
        </w:trPr>
        <w:tc>
          <w:tcPr>
            <w:tcW w:w="2875" w:type="dxa"/>
            <w:vMerge/>
            <w:vAlign w:val="center"/>
          </w:tcPr>
          <w:p w14:paraId="1B1A9EAC" w14:textId="77777777" w:rsidR="00EE05BF" w:rsidRDefault="00EE05BF">
            <w:pPr>
              <w:widowControl w:val="0"/>
              <w:pBdr>
                <w:top w:val="nil"/>
                <w:left w:val="nil"/>
                <w:bottom w:val="nil"/>
                <w:right w:val="nil"/>
                <w:between w:val="nil"/>
              </w:pBdr>
              <w:spacing w:line="276" w:lineRule="auto"/>
              <w:rPr>
                <w:color w:val="000000"/>
              </w:rPr>
            </w:pPr>
          </w:p>
        </w:tc>
        <w:tc>
          <w:tcPr>
            <w:tcW w:w="2875" w:type="dxa"/>
            <w:vMerge/>
            <w:vAlign w:val="center"/>
          </w:tcPr>
          <w:p w14:paraId="6745E1E8" w14:textId="77777777" w:rsidR="00EE05BF" w:rsidRDefault="00EE05BF">
            <w:pPr>
              <w:widowControl w:val="0"/>
              <w:pBdr>
                <w:top w:val="nil"/>
                <w:left w:val="nil"/>
                <w:bottom w:val="nil"/>
                <w:right w:val="nil"/>
                <w:between w:val="nil"/>
              </w:pBdr>
              <w:spacing w:line="276" w:lineRule="auto"/>
              <w:rPr>
                <w:color w:val="000000"/>
              </w:rPr>
            </w:pPr>
          </w:p>
        </w:tc>
        <w:tc>
          <w:tcPr>
            <w:tcW w:w="2875" w:type="dxa"/>
          </w:tcPr>
          <w:p w14:paraId="7EF86EAC" w14:textId="77777777" w:rsidR="00EE05BF" w:rsidRDefault="00F264CE">
            <w:pPr>
              <w:pBdr>
                <w:top w:val="nil"/>
                <w:left w:val="nil"/>
                <w:bottom w:val="nil"/>
                <w:right w:val="nil"/>
                <w:between w:val="nil"/>
              </w:pBdr>
              <w:spacing w:after="160" w:line="259" w:lineRule="auto"/>
              <w:jc w:val="center"/>
              <w:rPr>
                <w:color w:val="000000"/>
              </w:rPr>
            </w:pPr>
            <w:proofErr w:type="spellStart"/>
            <w:r>
              <w:rPr>
                <w:color w:val="000000"/>
              </w:rPr>
              <w:t>isTargetOf</w:t>
            </w:r>
            <w:proofErr w:type="spellEnd"/>
            <w:r>
              <w:rPr>
                <w:color w:val="000000"/>
              </w:rPr>
              <w:t>(“</w:t>
            </w:r>
            <w:r>
              <w:rPr>
                <w:color w:val="C00000"/>
              </w:rPr>
              <w:t>human thyroid peroxidase</w:t>
            </w:r>
            <w:r>
              <w:rPr>
                <w:color w:val="000000"/>
              </w:rPr>
              <w:t>”, “</w:t>
            </w:r>
            <w:r>
              <w:rPr>
                <w:color w:val="5B9BD5"/>
              </w:rPr>
              <w:t>antibodies against human thyroid peroxidase</w:t>
            </w:r>
            <w:r>
              <w:rPr>
                <w:color w:val="000000"/>
              </w:rPr>
              <w:t>)</w:t>
            </w:r>
          </w:p>
        </w:tc>
      </w:tr>
      <w:tr w:rsidR="00EE05BF" w14:paraId="056A0C29" w14:textId="77777777">
        <w:trPr>
          <w:trHeight w:val="938"/>
        </w:trPr>
        <w:tc>
          <w:tcPr>
            <w:tcW w:w="2875" w:type="dxa"/>
            <w:vMerge w:val="restart"/>
            <w:vAlign w:val="center"/>
          </w:tcPr>
          <w:p w14:paraId="6704F0C0" w14:textId="77777777" w:rsidR="00EE05BF" w:rsidRDefault="00F264CE">
            <w:pPr>
              <w:pBdr>
                <w:top w:val="nil"/>
                <w:left w:val="nil"/>
                <w:bottom w:val="nil"/>
                <w:right w:val="nil"/>
                <w:between w:val="nil"/>
              </w:pBdr>
              <w:spacing w:line="259" w:lineRule="auto"/>
              <w:jc w:val="center"/>
              <w:rPr>
                <w:b/>
                <w:color w:val="000000"/>
              </w:rPr>
            </w:pPr>
            <w:proofErr w:type="spellStart"/>
            <w:r>
              <w:rPr>
                <w:b/>
                <w:color w:val="000000"/>
              </w:rPr>
              <w:t>isRefTo</w:t>
            </w:r>
            <w:proofErr w:type="spellEnd"/>
          </w:p>
          <w:p w14:paraId="4394E000" w14:textId="77777777" w:rsidR="00EE05BF" w:rsidRDefault="00F264CE">
            <w:pPr>
              <w:pBdr>
                <w:top w:val="nil"/>
                <w:left w:val="nil"/>
                <w:bottom w:val="nil"/>
                <w:right w:val="nil"/>
                <w:between w:val="nil"/>
              </w:pBdr>
              <w:spacing w:line="259" w:lineRule="auto"/>
              <w:jc w:val="center"/>
              <w:rPr>
                <w:color w:val="000000"/>
              </w:rPr>
            </w:pPr>
            <w:r>
              <w:rPr>
                <w:b/>
                <w:color w:val="767171"/>
              </w:rPr>
              <w:t>domain</w:t>
            </w:r>
            <w:r>
              <w:rPr>
                <w:color w:val="000000"/>
              </w:rPr>
              <w:t xml:space="preserve">: </w:t>
            </w:r>
            <w:r>
              <w:t>any entity</w:t>
            </w:r>
          </w:p>
          <w:p w14:paraId="41622935" w14:textId="77777777" w:rsidR="00EE05BF" w:rsidRDefault="00F264CE">
            <w:pPr>
              <w:pBdr>
                <w:top w:val="nil"/>
                <w:left w:val="nil"/>
                <w:bottom w:val="nil"/>
                <w:right w:val="nil"/>
                <w:between w:val="nil"/>
              </w:pBdr>
              <w:spacing w:line="259" w:lineRule="auto"/>
              <w:jc w:val="center"/>
              <w:rPr>
                <w:color w:val="000000"/>
              </w:rPr>
            </w:pPr>
            <w:r>
              <w:rPr>
                <w:b/>
                <w:color w:val="767171"/>
              </w:rPr>
              <w:t>range</w:t>
            </w:r>
            <w:r>
              <w:rPr>
                <w:color w:val="000000"/>
              </w:rPr>
              <w:t xml:space="preserve">: </w:t>
            </w:r>
            <w:r>
              <w:t>any same type</w:t>
            </w:r>
          </w:p>
          <w:p w14:paraId="6DD39B7C" w14:textId="77777777" w:rsidR="00EE05BF" w:rsidRDefault="00EE05BF">
            <w:pPr>
              <w:pBdr>
                <w:top w:val="nil"/>
                <w:left w:val="nil"/>
                <w:bottom w:val="nil"/>
                <w:right w:val="nil"/>
                <w:between w:val="nil"/>
              </w:pBdr>
              <w:spacing w:after="160" w:line="259" w:lineRule="auto"/>
              <w:jc w:val="center"/>
              <w:rPr>
                <w:color w:val="000000"/>
              </w:rPr>
            </w:pPr>
          </w:p>
        </w:tc>
        <w:tc>
          <w:tcPr>
            <w:tcW w:w="2875" w:type="dxa"/>
            <w:vMerge w:val="restart"/>
            <w:shd w:val="clear" w:color="auto" w:fill="FFFFFF"/>
            <w:vAlign w:val="center"/>
          </w:tcPr>
          <w:p w14:paraId="6A00DDF4" w14:textId="77777777" w:rsidR="00EE05BF" w:rsidRDefault="00F264CE">
            <w:pPr>
              <w:pBdr>
                <w:top w:val="nil"/>
                <w:left w:val="nil"/>
                <w:bottom w:val="nil"/>
                <w:right w:val="nil"/>
                <w:between w:val="nil"/>
              </w:pBdr>
              <w:spacing w:after="160" w:line="259" w:lineRule="auto"/>
              <w:jc w:val="center"/>
              <w:rPr>
                <w:color w:val="000000"/>
              </w:rPr>
            </w:pPr>
            <w:r>
              <w:rPr>
                <w:color w:val="000000"/>
              </w:rPr>
              <w:t>Relation to use when a previously mentioned entity is mentioned again, or referred to in an indirect way in the same sentence</w:t>
            </w:r>
            <w:r>
              <w:t>, but is not directly specified as a synonym.</w:t>
            </w:r>
            <w:r>
              <w:rPr>
                <w:color w:val="000000"/>
              </w:rPr>
              <w:t xml:space="preserve"> Example: </w:t>
            </w:r>
          </w:p>
          <w:p w14:paraId="3E4FC7DC" w14:textId="77777777" w:rsidR="00EE05BF" w:rsidRDefault="00F264CE">
            <w:pPr>
              <w:pBdr>
                <w:top w:val="nil"/>
                <w:left w:val="nil"/>
                <w:bottom w:val="nil"/>
                <w:right w:val="nil"/>
                <w:between w:val="nil"/>
              </w:pBdr>
              <w:spacing w:after="160" w:line="259" w:lineRule="auto"/>
              <w:jc w:val="center"/>
              <w:rPr>
                <w:color w:val="000000"/>
              </w:rPr>
            </w:pPr>
            <w:r>
              <w:rPr>
                <w:color w:val="000000"/>
              </w:rPr>
              <w:t>“Entity1 is linked to Entity2</w:t>
            </w:r>
            <w:r>
              <w:t>, and [...]</w:t>
            </w:r>
            <w:r>
              <w:rPr>
                <w:color w:val="000000"/>
              </w:rPr>
              <w:t xml:space="preserve"> </w:t>
            </w:r>
            <w:r>
              <w:t>i</w:t>
            </w:r>
            <w:r>
              <w:rPr>
                <w:color w:val="000000"/>
              </w:rPr>
              <w:t>t is also linked t</w:t>
            </w:r>
            <w:r>
              <w:rPr>
                <w:color w:val="000000"/>
              </w:rPr>
              <w:t xml:space="preserve">o Entity3.” =&gt; </w:t>
            </w:r>
            <w:proofErr w:type="spellStart"/>
            <w:r>
              <w:rPr>
                <w:color w:val="000000"/>
              </w:rPr>
              <w:t>isRefTo</w:t>
            </w:r>
            <w:proofErr w:type="spellEnd"/>
            <w:r>
              <w:rPr>
                <w:color w:val="000000"/>
              </w:rPr>
              <w:t>(</w:t>
            </w:r>
            <w:r>
              <w:t xml:space="preserve">“It”, </w:t>
            </w:r>
            <w:r>
              <w:rPr>
                <w:color w:val="000000"/>
              </w:rPr>
              <w:t>“Entity1”)</w:t>
            </w:r>
          </w:p>
          <w:p w14:paraId="15B3242F" w14:textId="77777777" w:rsidR="00EE05BF" w:rsidRDefault="00F264CE">
            <w:pPr>
              <w:spacing w:line="259" w:lineRule="auto"/>
              <w:jc w:val="center"/>
            </w:pPr>
            <w:r>
              <w:t>(from 2ndary part to main part)</w:t>
            </w:r>
          </w:p>
        </w:tc>
        <w:tc>
          <w:tcPr>
            <w:tcW w:w="2875" w:type="dxa"/>
            <w:shd w:val="clear" w:color="auto" w:fill="FFFFFF"/>
          </w:tcPr>
          <w:p w14:paraId="147FC9B6" w14:textId="77777777" w:rsidR="00EE05BF" w:rsidRDefault="00F264CE">
            <w:pPr>
              <w:pBdr>
                <w:top w:val="nil"/>
                <w:left w:val="nil"/>
                <w:bottom w:val="nil"/>
                <w:right w:val="nil"/>
                <w:between w:val="nil"/>
              </w:pBdr>
              <w:spacing w:after="160" w:line="259" w:lineRule="auto"/>
              <w:jc w:val="center"/>
              <w:rPr>
                <w:color w:val="000000"/>
              </w:rPr>
            </w:pPr>
            <w:r>
              <w:rPr>
                <w:color w:val="000000"/>
              </w:rPr>
              <w:t>Systemic lupus erythematosus</w:t>
            </w:r>
            <w:r>
              <w:t>, [...] this</w:t>
            </w:r>
            <w:r>
              <w:rPr>
                <w:color w:val="000000"/>
              </w:rPr>
              <w:t xml:space="preserve"> disease is</w:t>
            </w:r>
            <w:r>
              <w:t>…</w:t>
            </w:r>
          </w:p>
        </w:tc>
      </w:tr>
      <w:tr w:rsidR="00EE05BF" w14:paraId="0B1195CB" w14:textId="77777777">
        <w:trPr>
          <w:trHeight w:val="937"/>
        </w:trPr>
        <w:tc>
          <w:tcPr>
            <w:tcW w:w="2875" w:type="dxa"/>
            <w:vMerge/>
            <w:vAlign w:val="center"/>
          </w:tcPr>
          <w:p w14:paraId="5061277B" w14:textId="77777777" w:rsidR="00EE05BF" w:rsidRDefault="00EE05BF">
            <w:pPr>
              <w:widowControl w:val="0"/>
              <w:pBdr>
                <w:top w:val="nil"/>
                <w:left w:val="nil"/>
                <w:bottom w:val="nil"/>
                <w:right w:val="nil"/>
                <w:between w:val="nil"/>
              </w:pBdr>
              <w:spacing w:line="276" w:lineRule="auto"/>
              <w:rPr>
                <w:color w:val="000000"/>
              </w:rPr>
            </w:pPr>
          </w:p>
        </w:tc>
        <w:tc>
          <w:tcPr>
            <w:tcW w:w="2875" w:type="dxa"/>
            <w:vMerge/>
            <w:shd w:val="clear" w:color="auto" w:fill="FFFFFF"/>
            <w:vAlign w:val="center"/>
          </w:tcPr>
          <w:p w14:paraId="3A34886E" w14:textId="77777777" w:rsidR="00EE05BF" w:rsidRDefault="00EE05BF">
            <w:pPr>
              <w:widowControl w:val="0"/>
              <w:pBdr>
                <w:top w:val="nil"/>
                <w:left w:val="nil"/>
                <w:bottom w:val="nil"/>
                <w:right w:val="nil"/>
                <w:between w:val="nil"/>
              </w:pBdr>
              <w:spacing w:line="276" w:lineRule="auto"/>
              <w:rPr>
                <w:color w:val="000000"/>
              </w:rPr>
            </w:pPr>
          </w:p>
        </w:tc>
        <w:tc>
          <w:tcPr>
            <w:tcW w:w="2875" w:type="dxa"/>
            <w:shd w:val="clear" w:color="auto" w:fill="FFFFFF"/>
          </w:tcPr>
          <w:p w14:paraId="0C62A946" w14:textId="77777777" w:rsidR="00EE05BF" w:rsidRDefault="00F264CE">
            <w:pPr>
              <w:pBdr>
                <w:top w:val="nil"/>
                <w:left w:val="nil"/>
                <w:bottom w:val="nil"/>
                <w:right w:val="nil"/>
                <w:between w:val="nil"/>
              </w:pBdr>
              <w:spacing w:after="160" w:line="259" w:lineRule="auto"/>
              <w:jc w:val="center"/>
            </w:pPr>
            <w:proofErr w:type="spellStart"/>
            <w:r>
              <w:rPr>
                <w:color w:val="000000"/>
              </w:rPr>
              <w:t>isRefTo</w:t>
            </w:r>
            <w:proofErr w:type="spellEnd"/>
            <w:r>
              <w:rPr>
                <w:color w:val="000000"/>
              </w:rPr>
              <w:t>(“</w:t>
            </w:r>
            <w:r>
              <w:rPr>
                <w:color w:val="70AD47"/>
              </w:rPr>
              <w:t>th</w:t>
            </w:r>
            <w:r>
              <w:rPr>
                <w:color w:val="70AD47"/>
              </w:rPr>
              <w:t>is</w:t>
            </w:r>
            <w:r>
              <w:rPr>
                <w:color w:val="70AD47"/>
              </w:rPr>
              <w:t xml:space="preserve"> disease</w:t>
            </w:r>
            <w:r>
              <w:rPr>
                <w:color w:val="000000"/>
              </w:rPr>
              <w:t>”, “</w:t>
            </w:r>
            <w:r>
              <w:rPr>
                <w:color w:val="70AD47"/>
              </w:rPr>
              <w:t>systemic lupus erythematosus</w:t>
            </w:r>
            <w:r>
              <w:rPr>
                <w:color w:val="000000"/>
              </w:rPr>
              <w:t>”)</w:t>
            </w:r>
          </w:p>
          <w:p w14:paraId="40049695" w14:textId="77777777" w:rsidR="00EE05BF" w:rsidRDefault="00F264CE">
            <w:pPr>
              <w:pBdr>
                <w:top w:val="nil"/>
                <w:left w:val="nil"/>
                <w:bottom w:val="nil"/>
                <w:right w:val="nil"/>
                <w:between w:val="nil"/>
              </w:pBdr>
              <w:spacing w:after="160" w:line="259" w:lineRule="auto"/>
              <w:jc w:val="center"/>
              <w:rPr>
                <w:color w:val="000000"/>
              </w:rPr>
            </w:pPr>
            <w:r>
              <w:rPr>
                <w:color w:val="000000"/>
              </w:rPr>
              <w:t xml:space="preserve">(in the context of this </w:t>
            </w:r>
            <w:r>
              <w:t>example</w:t>
            </w:r>
            <w:r>
              <w:rPr>
                <w:color w:val="000000"/>
              </w:rPr>
              <w:t>)</w:t>
            </w:r>
          </w:p>
        </w:tc>
      </w:tr>
      <w:tr w:rsidR="00EE05BF" w14:paraId="730F773C" w14:textId="77777777">
        <w:trPr>
          <w:trHeight w:val="1530"/>
        </w:trPr>
        <w:tc>
          <w:tcPr>
            <w:tcW w:w="2875" w:type="dxa"/>
            <w:vMerge w:val="restart"/>
            <w:vAlign w:val="center"/>
          </w:tcPr>
          <w:p w14:paraId="3CAC410C" w14:textId="77777777" w:rsidR="00EE05BF" w:rsidRDefault="00F264CE">
            <w:pPr>
              <w:pBdr>
                <w:top w:val="nil"/>
                <w:left w:val="nil"/>
                <w:bottom w:val="nil"/>
                <w:right w:val="nil"/>
                <w:between w:val="nil"/>
              </w:pBdr>
              <w:spacing w:line="259" w:lineRule="auto"/>
              <w:jc w:val="center"/>
              <w:rPr>
                <w:b/>
                <w:color w:val="000000"/>
              </w:rPr>
            </w:pPr>
            <w:proofErr w:type="spellStart"/>
            <w:r>
              <w:rPr>
                <w:b/>
                <w:color w:val="000000"/>
              </w:rPr>
              <w:t>discontiguousEntity</w:t>
            </w:r>
            <w:proofErr w:type="spellEnd"/>
          </w:p>
          <w:p w14:paraId="37483AF5" w14:textId="77777777" w:rsidR="00EE05BF" w:rsidRDefault="00F264CE">
            <w:pPr>
              <w:pBdr>
                <w:top w:val="nil"/>
                <w:left w:val="nil"/>
                <w:bottom w:val="nil"/>
                <w:right w:val="nil"/>
                <w:between w:val="nil"/>
              </w:pBdr>
              <w:spacing w:line="259" w:lineRule="auto"/>
              <w:jc w:val="center"/>
              <w:rPr>
                <w:color w:val="000000"/>
              </w:rPr>
            </w:pPr>
            <w:r>
              <w:rPr>
                <w:b/>
                <w:color w:val="767171"/>
              </w:rPr>
              <w:t>domain</w:t>
            </w:r>
            <w:r>
              <w:rPr>
                <w:color w:val="000000"/>
              </w:rPr>
              <w:t xml:space="preserve">: </w:t>
            </w:r>
            <w:r>
              <w:t>any type</w:t>
            </w:r>
          </w:p>
          <w:p w14:paraId="690A9B6C" w14:textId="77777777" w:rsidR="00EE05BF" w:rsidRDefault="00F264CE">
            <w:pPr>
              <w:pBdr>
                <w:top w:val="nil"/>
                <w:left w:val="nil"/>
                <w:bottom w:val="nil"/>
                <w:right w:val="nil"/>
                <w:between w:val="nil"/>
              </w:pBdr>
              <w:spacing w:line="259" w:lineRule="auto"/>
              <w:jc w:val="center"/>
              <w:rPr>
                <w:color w:val="000000"/>
              </w:rPr>
            </w:pPr>
            <w:r>
              <w:rPr>
                <w:b/>
                <w:color w:val="767171"/>
              </w:rPr>
              <w:t>range</w:t>
            </w:r>
            <w:r>
              <w:rPr>
                <w:color w:val="000000"/>
              </w:rPr>
              <w:t xml:space="preserve">: </w:t>
            </w:r>
            <w:r>
              <w:t>any same type</w:t>
            </w:r>
          </w:p>
        </w:tc>
        <w:tc>
          <w:tcPr>
            <w:tcW w:w="2875" w:type="dxa"/>
            <w:vMerge w:val="restart"/>
            <w:vAlign w:val="center"/>
          </w:tcPr>
          <w:p w14:paraId="56F976F1" w14:textId="77777777" w:rsidR="00EE05BF" w:rsidRDefault="00F264CE">
            <w:pPr>
              <w:pBdr>
                <w:top w:val="nil"/>
                <w:left w:val="nil"/>
                <w:bottom w:val="nil"/>
                <w:right w:val="nil"/>
                <w:between w:val="nil"/>
              </w:pBdr>
              <w:spacing w:line="259" w:lineRule="auto"/>
              <w:jc w:val="center"/>
            </w:pPr>
            <w:r>
              <w:rPr>
                <w:color w:val="000000"/>
              </w:rPr>
              <w:t xml:space="preserve">Relation to use when an entity is </w:t>
            </w:r>
            <w:r>
              <w:t xml:space="preserve">composed of several </w:t>
            </w:r>
            <w:proofErr w:type="spellStart"/>
            <w:r>
              <w:t>discontiguous</w:t>
            </w:r>
            <w:proofErr w:type="spellEnd"/>
            <w:r>
              <w:t xml:space="preserve"> fragments (from 2ndary part to main part):</w:t>
            </w:r>
          </w:p>
          <w:p w14:paraId="3B54ED4B" w14:textId="77777777" w:rsidR="00EE05BF" w:rsidRDefault="00EE05BF">
            <w:pPr>
              <w:pBdr>
                <w:top w:val="nil"/>
                <w:left w:val="nil"/>
                <w:bottom w:val="nil"/>
                <w:right w:val="nil"/>
                <w:between w:val="nil"/>
              </w:pBdr>
              <w:spacing w:line="259" w:lineRule="auto"/>
              <w:jc w:val="center"/>
            </w:pPr>
          </w:p>
          <w:p w14:paraId="442025BF" w14:textId="77777777" w:rsidR="00EE05BF" w:rsidRDefault="00F264CE">
            <w:pPr>
              <w:pBdr>
                <w:top w:val="nil"/>
                <w:left w:val="nil"/>
                <w:bottom w:val="nil"/>
                <w:right w:val="nil"/>
                <w:between w:val="nil"/>
              </w:pBdr>
              <w:spacing w:after="160" w:line="259" w:lineRule="auto"/>
              <w:jc w:val="center"/>
              <w:rPr>
                <w:color w:val="000000"/>
              </w:rPr>
            </w:pPr>
            <w:proofErr w:type="spellStart"/>
            <w:r>
              <w:t>discontiguousEntity</w:t>
            </w:r>
            <w:proofErr w:type="spellEnd"/>
            <w:r>
              <w:rPr>
                <w:color w:val="000000"/>
              </w:rPr>
              <w:t>(“Entity1_secondary_part”</w:t>
            </w:r>
            <w:r>
              <w:t xml:space="preserve">, </w:t>
            </w:r>
            <w:r>
              <w:rPr>
                <w:color w:val="000000"/>
              </w:rPr>
              <w:t>“Entity1_main_part”)</w:t>
            </w:r>
          </w:p>
        </w:tc>
        <w:tc>
          <w:tcPr>
            <w:tcW w:w="2875" w:type="dxa"/>
          </w:tcPr>
          <w:p w14:paraId="2054DF83" w14:textId="77777777" w:rsidR="00EE05BF" w:rsidRDefault="00F264CE">
            <w:pPr>
              <w:pBdr>
                <w:top w:val="nil"/>
                <w:left w:val="nil"/>
                <w:bottom w:val="nil"/>
                <w:right w:val="nil"/>
                <w:between w:val="nil"/>
              </w:pBdr>
              <w:spacing w:after="160" w:line="259" w:lineRule="auto"/>
              <w:jc w:val="center"/>
              <w:rPr>
                <w:color w:val="000000"/>
              </w:rPr>
            </w:pPr>
            <w:r>
              <w:t>lung and breast cancer</w:t>
            </w:r>
          </w:p>
        </w:tc>
      </w:tr>
      <w:tr w:rsidR="00EE05BF" w14:paraId="00D4D8DD" w14:textId="77777777">
        <w:trPr>
          <w:trHeight w:val="937"/>
        </w:trPr>
        <w:tc>
          <w:tcPr>
            <w:tcW w:w="2875" w:type="dxa"/>
            <w:vMerge/>
            <w:vAlign w:val="center"/>
          </w:tcPr>
          <w:p w14:paraId="335E200D" w14:textId="77777777" w:rsidR="00EE05BF" w:rsidRDefault="00EE05BF">
            <w:pPr>
              <w:widowControl w:val="0"/>
              <w:pBdr>
                <w:top w:val="nil"/>
                <w:left w:val="nil"/>
                <w:bottom w:val="nil"/>
                <w:right w:val="nil"/>
                <w:between w:val="nil"/>
              </w:pBdr>
              <w:spacing w:line="276" w:lineRule="auto"/>
              <w:rPr>
                <w:color w:val="000000"/>
              </w:rPr>
            </w:pPr>
          </w:p>
        </w:tc>
        <w:tc>
          <w:tcPr>
            <w:tcW w:w="2875" w:type="dxa"/>
            <w:vMerge/>
            <w:vAlign w:val="center"/>
          </w:tcPr>
          <w:p w14:paraId="3D0051E3" w14:textId="77777777" w:rsidR="00EE05BF" w:rsidRDefault="00EE05BF">
            <w:pPr>
              <w:widowControl w:val="0"/>
              <w:pBdr>
                <w:top w:val="nil"/>
                <w:left w:val="nil"/>
                <w:bottom w:val="nil"/>
                <w:right w:val="nil"/>
                <w:between w:val="nil"/>
              </w:pBdr>
              <w:spacing w:line="276" w:lineRule="auto"/>
              <w:rPr>
                <w:color w:val="000000"/>
              </w:rPr>
            </w:pPr>
          </w:p>
        </w:tc>
        <w:tc>
          <w:tcPr>
            <w:tcW w:w="2875" w:type="dxa"/>
          </w:tcPr>
          <w:p w14:paraId="50525006" w14:textId="77777777" w:rsidR="00EE05BF" w:rsidRDefault="00F264CE">
            <w:pPr>
              <w:pBdr>
                <w:top w:val="nil"/>
                <w:left w:val="nil"/>
                <w:bottom w:val="nil"/>
                <w:right w:val="nil"/>
                <w:between w:val="nil"/>
              </w:pBdr>
              <w:spacing w:line="259" w:lineRule="auto"/>
              <w:jc w:val="center"/>
              <w:rPr>
                <w:color w:val="000000"/>
              </w:rPr>
            </w:pPr>
            <w:proofErr w:type="spellStart"/>
            <w:r>
              <w:rPr>
                <w:color w:val="000000"/>
              </w:rPr>
              <w:t>discontiguousEntity</w:t>
            </w:r>
            <w:proofErr w:type="spellEnd"/>
            <w:r>
              <w:rPr>
                <w:color w:val="000000"/>
              </w:rPr>
              <w:t>(“</w:t>
            </w:r>
            <w:r>
              <w:rPr>
                <w:color w:val="70AD47"/>
              </w:rPr>
              <w:t>lung</w:t>
            </w:r>
            <w:r>
              <w:rPr>
                <w:color w:val="000000"/>
              </w:rPr>
              <w:t>”, “</w:t>
            </w:r>
            <w:r>
              <w:rPr>
                <w:color w:val="70AD47"/>
              </w:rPr>
              <w:t>cancer</w:t>
            </w:r>
            <w:r>
              <w:rPr>
                <w:color w:val="000000"/>
              </w:rPr>
              <w:t>”)</w:t>
            </w:r>
          </w:p>
        </w:tc>
      </w:tr>
      <w:tr w:rsidR="00EE05BF" w14:paraId="49335A56" w14:textId="77777777">
        <w:trPr>
          <w:trHeight w:val="540"/>
        </w:trPr>
        <w:tc>
          <w:tcPr>
            <w:tcW w:w="2875" w:type="dxa"/>
            <w:vMerge w:val="restart"/>
            <w:vAlign w:val="center"/>
          </w:tcPr>
          <w:p w14:paraId="0090523B" w14:textId="77777777" w:rsidR="00EE05BF" w:rsidRDefault="00F264CE">
            <w:pPr>
              <w:pBdr>
                <w:top w:val="nil"/>
                <w:left w:val="nil"/>
                <w:bottom w:val="nil"/>
                <w:right w:val="nil"/>
                <w:between w:val="nil"/>
              </w:pBdr>
              <w:spacing w:line="259" w:lineRule="auto"/>
              <w:jc w:val="center"/>
              <w:rPr>
                <w:b/>
                <w:color w:val="000000"/>
              </w:rPr>
            </w:pPr>
            <w:proofErr w:type="spellStart"/>
            <w:r>
              <w:rPr>
                <w:b/>
                <w:color w:val="000000"/>
              </w:rPr>
              <w:t>isSynonymOf</w:t>
            </w:r>
            <w:proofErr w:type="spellEnd"/>
          </w:p>
          <w:p w14:paraId="3BAF60E6" w14:textId="77777777" w:rsidR="00EE05BF" w:rsidRDefault="00F264CE">
            <w:pPr>
              <w:pBdr>
                <w:top w:val="nil"/>
                <w:left w:val="nil"/>
                <w:bottom w:val="nil"/>
                <w:right w:val="nil"/>
                <w:between w:val="nil"/>
              </w:pBdr>
              <w:spacing w:line="259" w:lineRule="auto"/>
              <w:jc w:val="center"/>
              <w:rPr>
                <w:color w:val="000000"/>
              </w:rPr>
            </w:pPr>
            <w:r>
              <w:rPr>
                <w:b/>
                <w:color w:val="767171"/>
              </w:rPr>
              <w:t>domain</w:t>
            </w:r>
            <w:r>
              <w:rPr>
                <w:color w:val="000000"/>
              </w:rPr>
              <w:t xml:space="preserve">: </w:t>
            </w:r>
            <w:r>
              <w:t>any type</w:t>
            </w:r>
          </w:p>
          <w:p w14:paraId="5225371F" w14:textId="77777777" w:rsidR="00EE05BF" w:rsidRDefault="00F264CE">
            <w:pPr>
              <w:pBdr>
                <w:top w:val="nil"/>
                <w:left w:val="nil"/>
                <w:bottom w:val="nil"/>
                <w:right w:val="nil"/>
                <w:between w:val="nil"/>
              </w:pBdr>
              <w:spacing w:line="259" w:lineRule="auto"/>
              <w:jc w:val="center"/>
              <w:rPr>
                <w:color w:val="000000"/>
              </w:rPr>
            </w:pPr>
            <w:r>
              <w:rPr>
                <w:b/>
                <w:color w:val="767171"/>
              </w:rPr>
              <w:t>range</w:t>
            </w:r>
            <w:r>
              <w:rPr>
                <w:color w:val="000000"/>
              </w:rPr>
              <w:t xml:space="preserve">: </w:t>
            </w:r>
            <w:r>
              <w:t>any same type</w:t>
            </w:r>
          </w:p>
        </w:tc>
        <w:tc>
          <w:tcPr>
            <w:tcW w:w="2875" w:type="dxa"/>
            <w:vMerge w:val="restart"/>
            <w:vAlign w:val="center"/>
          </w:tcPr>
          <w:p w14:paraId="78C09080" w14:textId="77777777" w:rsidR="00EE05BF" w:rsidRDefault="00F264CE">
            <w:pPr>
              <w:pBdr>
                <w:top w:val="nil"/>
                <w:left w:val="nil"/>
                <w:bottom w:val="nil"/>
                <w:right w:val="nil"/>
                <w:between w:val="nil"/>
              </w:pBdr>
              <w:spacing w:after="160" w:line="259" w:lineRule="auto"/>
              <w:jc w:val="center"/>
            </w:pPr>
            <w:r>
              <w:rPr>
                <w:color w:val="000000"/>
              </w:rPr>
              <w:t xml:space="preserve">Relation to use when </w:t>
            </w:r>
            <w:r>
              <w:t>the text explicitly indicates 2 entities are synonymous</w:t>
            </w:r>
            <w:r>
              <w:rPr>
                <w:color w:val="000000"/>
              </w:rPr>
              <w:t>. This includes abbreviations</w:t>
            </w:r>
            <w:r>
              <w:t xml:space="preserve"> :</w:t>
            </w:r>
          </w:p>
          <w:p w14:paraId="0E748274" w14:textId="77777777" w:rsidR="00EE05BF" w:rsidRDefault="00F264CE">
            <w:pPr>
              <w:pBdr>
                <w:top w:val="nil"/>
                <w:left w:val="nil"/>
                <w:bottom w:val="nil"/>
                <w:right w:val="nil"/>
                <w:between w:val="nil"/>
              </w:pBdr>
              <w:spacing w:after="160" w:line="259" w:lineRule="auto"/>
              <w:jc w:val="center"/>
              <w:rPr>
                <w:color w:val="000000"/>
              </w:rPr>
            </w:pPr>
            <w:r>
              <w:rPr>
                <w:color w:val="000000"/>
              </w:rPr>
              <w:lastRenderedPageBreak/>
              <w:t xml:space="preserve"> </w:t>
            </w:r>
            <w:proofErr w:type="spellStart"/>
            <w:r>
              <w:t>isSynonymOf</w:t>
            </w:r>
            <w:proofErr w:type="spellEnd"/>
            <w:r>
              <w:t>(</w:t>
            </w:r>
            <w:r>
              <w:rPr>
                <w:color w:val="000000"/>
              </w:rPr>
              <w:t>“D1”</w:t>
            </w:r>
            <w:r>
              <w:t xml:space="preserve">, </w:t>
            </w:r>
            <w:r>
              <w:rPr>
                <w:color w:val="000000"/>
              </w:rPr>
              <w:t>“disease1”)</w:t>
            </w:r>
            <w:r>
              <w:t>.</w:t>
            </w:r>
          </w:p>
          <w:p w14:paraId="26BD4AAC" w14:textId="77777777" w:rsidR="00EE05BF" w:rsidRDefault="00F264CE">
            <w:pPr>
              <w:pBdr>
                <w:top w:val="nil"/>
                <w:left w:val="nil"/>
                <w:bottom w:val="nil"/>
                <w:right w:val="nil"/>
                <w:between w:val="nil"/>
              </w:pBdr>
              <w:spacing w:after="160" w:line="259" w:lineRule="auto"/>
              <w:jc w:val="center"/>
            </w:pPr>
            <w:r>
              <w:t>The entity mentioned first in the text should be the subject of the relation.</w:t>
            </w:r>
          </w:p>
          <w:p w14:paraId="46E67A9B" w14:textId="77777777" w:rsidR="00EE05BF" w:rsidRDefault="00EE05BF">
            <w:pPr>
              <w:pBdr>
                <w:top w:val="nil"/>
                <w:left w:val="nil"/>
                <w:bottom w:val="nil"/>
                <w:right w:val="nil"/>
                <w:between w:val="nil"/>
              </w:pBdr>
              <w:spacing w:after="160" w:line="259" w:lineRule="auto"/>
              <w:jc w:val="center"/>
            </w:pPr>
          </w:p>
          <w:p w14:paraId="12FA6926" w14:textId="77777777" w:rsidR="00EE05BF" w:rsidRDefault="00F264CE">
            <w:pPr>
              <w:spacing w:after="160" w:line="259" w:lineRule="auto"/>
              <w:jc w:val="center"/>
            </w:pPr>
            <w:r>
              <w:rPr>
                <w:b/>
              </w:rPr>
              <w:t>(symmetrical relation)</w:t>
            </w:r>
          </w:p>
        </w:tc>
        <w:tc>
          <w:tcPr>
            <w:tcW w:w="2875" w:type="dxa"/>
          </w:tcPr>
          <w:p w14:paraId="2BA08C4E" w14:textId="77777777" w:rsidR="00EE05BF" w:rsidRDefault="00F264CE">
            <w:pPr>
              <w:pBdr>
                <w:top w:val="nil"/>
                <w:left w:val="nil"/>
                <w:bottom w:val="nil"/>
                <w:right w:val="nil"/>
                <w:between w:val="nil"/>
              </w:pBdr>
              <w:spacing w:after="160" w:line="259" w:lineRule="auto"/>
              <w:jc w:val="center"/>
              <w:rPr>
                <w:color w:val="000000"/>
              </w:rPr>
            </w:pPr>
            <w:r>
              <w:rPr>
                <w:color w:val="000000"/>
              </w:rPr>
              <w:lastRenderedPageBreak/>
              <w:t>islet cell antibody (ICA)</w:t>
            </w:r>
          </w:p>
        </w:tc>
      </w:tr>
      <w:tr w:rsidR="00EE05BF" w14:paraId="0E41E823" w14:textId="77777777">
        <w:trPr>
          <w:trHeight w:val="540"/>
        </w:trPr>
        <w:tc>
          <w:tcPr>
            <w:tcW w:w="2875" w:type="dxa"/>
            <w:vMerge/>
            <w:vAlign w:val="center"/>
          </w:tcPr>
          <w:p w14:paraId="521D7274" w14:textId="77777777" w:rsidR="00EE05BF" w:rsidRDefault="00EE05BF">
            <w:pPr>
              <w:widowControl w:val="0"/>
              <w:pBdr>
                <w:top w:val="nil"/>
                <w:left w:val="nil"/>
                <w:bottom w:val="nil"/>
                <w:right w:val="nil"/>
                <w:between w:val="nil"/>
              </w:pBdr>
              <w:spacing w:line="276" w:lineRule="auto"/>
              <w:rPr>
                <w:color w:val="000000"/>
              </w:rPr>
            </w:pPr>
          </w:p>
        </w:tc>
        <w:tc>
          <w:tcPr>
            <w:tcW w:w="2875" w:type="dxa"/>
            <w:vMerge/>
            <w:vAlign w:val="center"/>
          </w:tcPr>
          <w:p w14:paraId="4EBCA47B" w14:textId="77777777" w:rsidR="00EE05BF" w:rsidRDefault="00EE05BF">
            <w:pPr>
              <w:widowControl w:val="0"/>
              <w:pBdr>
                <w:top w:val="nil"/>
                <w:left w:val="nil"/>
                <w:bottom w:val="nil"/>
                <w:right w:val="nil"/>
                <w:between w:val="nil"/>
              </w:pBdr>
              <w:spacing w:line="276" w:lineRule="auto"/>
              <w:rPr>
                <w:color w:val="000000"/>
              </w:rPr>
            </w:pPr>
          </w:p>
        </w:tc>
        <w:tc>
          <w:tcPr>
            <w:tcW w:w="2875" w:type="dxa"/>
          </w:tcPr>
          <w:p w14:paraId="35FEE271" w14:textId="77777777" w:rsidR="00EE05BF" w:rsidRDefault="00F264CE">
            <w:pPr>
              <w:pBdr>
                <w:top w:val="nil"/>
                <w:left w:val="nil"/>
                <w:bottom w:val="nil"/>
                <w:right w:val="nil"/>
                <w:between w:val="nil"/>
              </w:pBdr>
              <w:spacing w:after="160" w:line="259" w:lineRule="auto"/>
              <w:jc w:val="center"/>
              <w:rPr>
                <w:color w:val="000000"/>
              </w:rPr>
            </w:pPr>
            <w:proofErr w:type="spellStart"/>
            <w:r>
              <w:rPr>
                <w:color w:val="000000"/>
              </w:rPr>
              <w:t>isSynonymOf</w:t>
            </w:r>
            <w:proofErr w:type="spellEnd"/>
            <w:r>
              <w:rPr>
                <w:color w:val="000000"/>
              </w:rPr>
              <w:t>(“</w:t>
            </w:r>
            <w:r>
              <w:rPr>
                <w:color w:val="5B9BD5"/>
              </w:rPr>
              <w:t>ICA</w:t>
            </w:r>
            <w:r>
              <w:rPr>
                <w:color w:val="000000"/>
              </w:rPr>
              <w:t>”, “</w:t>
            </w:r>
            <w:r>
              <w:rPr>
                <w:color w:val="5B9BD5"/>
              </w:rPr>
              <w:t>islet cell antibody</w:t>
            </w:r>
            <w:r>
              <w:rPr>
                <w:color w:val="000000"/>
              </w:rPr>
              <w:t>”)</w:t>
            </w:r>
          </w:p>
        </w:tc>
      </w:tr>
      <w:tr w:rsidR="00EE05BF" w14:paraId="1551B1F9" w14:textId="77777777">
        <w:trPr>
          <w:trHeight w:val="803"/>
        </w:trPr>
        <w:tc>
          <w:tcPr>
            <w:tcW w:w="2875"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734D73" w14:textId="77777777" w:rsidR="00EE05BF" w:rsidRDefault="00F264CE">
            <w:pPr>
              <w:spacing w:line="276" w:lineRule="auto"/>
              <w:jc w:val="center"/>
              <w:rPr>
                <w:b/>
              </w:rPr>
            </w:pPr>
            <w:proofErr w:type="spellStart"/>
            <w:r>
              <w:rPr>
                <w:b/>
              </w:rPr>
              <w:t>isLocatedIn</w:t>
            </w:r>
            <w:proofErr w:type="spellEnd"/>
          </w:p>
          <w:p w14:paraId="0F6EFA3D" w14:textId="77777777" w:rsidR="00EE05BF" w:rsidRDefault="00F264CE">
            <w:pPr>
              <w:spacing w:line="276" w:lineRule="auto"/>
              <w:jc w:val="center"/>
              <w:rPr>
                <w:color w:val="C00000"/>
              </w:rPr>
            </w:pPr>
            <w:r>
              <w:rPr>
                <w:b/>
                <w:color w:val="767171"/>
              </w:rPr>
              <w:t>domain</w:t>
            </w:r>
            <w:r>
              <w:t xml:space="preserve">: </w:t>
            </w:r>
            <w:r>
              <w:rPr>
                <w:color w:val="3366CC"/>
              </w:rPr>
              <w:t>Autoantibody</w:t>
            </w:r>
            <w:r>
              <w:t xml:space="preserve">, </w:t>
            </w:r>
            <w:r>
              <w:rPr>
                <w:color w:val="C00000"/>
              </w:rPr>
              <w:t>Target</w:t>
            </w:r>
          </w:p>
          <w:p w14:paraId="2F82B840" w14:textId="77777777" w:rsidR="00EE05BF" w:rsidRDefault="00F264CE">
            <w:pPr>
              <w:spacing w:line="276" w:lineRule="auto"/>
              <w:jc w:val="center"/>
              <w:rPr>
                <w:color w:val="C00000"/>
              </w:rPr>
            </w:pPr>
            <w:r>
              <w:rPr>
                <w:b/>
                <w:color w:val="767171"/>
              </w:rPr>
              <w:t>range</w:t>
            </w:r>
            <w:r>
              <w:t xml:space="preserve">: </w:t>
            </w:r>
            <w:r>
              <w:rPr>
                <w:color w:val="7030A0"/>
              </w:rPr>
              <w:t xml:space="preserve">Location, </w:t>
            </w:r>
            <w:r>
              <w:rPr>
                <w:color w:val="C00000"/>
              </w:rPr>
              <w:t>Target</w:t>
            </w:r>
          </w:p>
          <w:p w14:paraId="44E32AAB" w14:textId="77777777" w:rsidR="00EE05BF" w:rsidRDefault="00F264CE">
            <w:pPr>
              <w:spacing w:line="276" w:lineRule="auto"/>
              <w:ind w:left="720"/>
              <w:jc w:val="center"/>
            </w:pPr>
            <w:r>
              <w:t xml:space="preserve"> </w:t>
            </w:r>
          </w:p>
        </w:tc>
        <w:tc>
          <w:tcPr>
            <w:tcW w:w="287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E8BD88" w14:textId="77777777" w:rsidR="00EE05BF" w:rsidRDefault="00F264CE">
            <w:pPr>
              <w:spacing w:line="276" w:lineRule="auto"/>
              <w:jc w:val="center"/>
            </w:pPr>
            <w:r>
              <w:t xml:space="preserve">Relation to use in order to specify where an </w:t>
            </w:r>
            <w:r>
              <w:rPr>
                <w:color w:val="3366CC"/>
              </w:rPr>
              <w:t>Autoantibody</w:t>
            </w:r>
            <w:r>
              <w:t xml:space="preserve"> is located</w:t>
            </w:r>
          </w:p>
          <w:p w14:paraId="50BBFB53" w14:textId="77777777" w:rsidR="00EE05BF" w:rsidRDefault="00F264CE">
            <w:pPr>
              <w:spacing w:line="276" w:lineRule="auto"/>
              <w:jc w:val="center"/>
            </w:pPr>
            <w:r>
              <w:t xml:space="preserve">or where a </w:t>
            </w:r>
            <w:r>
              <w:rPr>
                <w:color w:val="C00000"/>
              </w:rPr>
              <w:t>Target</w:t>
            </w:r>
            <w:r>
              <w:t xml:space="preserve"> is located (an </w:t>
            </w:r>
            <w:r>
              <w:rPr>
                <w:color w:val="3366CC"/>
              </w:rPr>
              <w:t>Autoantibody</w:t>
            </w:r>
            <w:r>
              <w:t xml:space="preserve"> can only be located in a </w:t>
            </w:r>
            <w:r>
              <w:rPr>
                <w:color w:val="7030A0"/>
              </w:rPr>
              <w:t>Location</w:t>
            </w:r>
            <w:r>
              <w:t xml:space="preserve">; and a </w:t>
            </w:r>
            <w:r>
              <w:rPr>
                <w:color w:val="C00000"/>
              </w:rPr>
              <w:t>Target</w:t>
            </w:r>
            <w:r>
              <w:t xml:space="preserve"> can only be located in a larger </w:t>
            </w:r>
            <w:r>
              <w:rPr>
                <w:color w:val="C00000"/>
              </w:rPr>
              <w:t>Target</w:t>
            </w:r>
            <w:r>
              <w:t>).</w:t>
            </w:r>
          </w:p>
          <w:p w14:paraId="56A56EBA" w14:textId="77777777" w:rsidR="00EE05BF" w:rsidRDefault="00EE05BF">
            <w:pPr>
              <w:spacing w:line="276" w:lineRule="auto"/>
              <w:jc w:val="center"/>
            </w:pPr>
          </w:p>
          <w:p w14:paraId="2395ABAA" w14:textId="77777777" w:rsidR="00EE05BF" w:rsidRDefault="00F264CE">
            <w:pPr>
              <w:spacing w:line="276" w:lineRule="auto"/>
              <w:jc w:val="center"/>
            </w:pPr>
            <w:proofErr w:type="spellStart"/>
            <w:r>
              <w:t>isLocatedIn</w:t>
            </w:r>
            <w:proofErr w:type="spellEnd"/>
            <w:r>
              <w:t>(“AAb1”, “Location1”)</w:t>
            </w:r>
          </w:p>
          <w:p w14:paraId="3FE76748" w14:textId="77777777" w:rsidR="00EE05BF" w:rsidRDefault="00F264CE">
            <w:pPr>
              <w:spacing w:line="276" w:lineRule="auto"/>
              <w:jc w:val="center"/>
            </w:pPr>
            <w:r>
              <w:t xml:space="preserve"> </w:t>
            </w:r>
          </w:p>
          <w:p w14:paraId="2B721CC9" w14:textId="77777777" w:rsidR="00EE05BF" w:rsidRDefault="00F264CE">
            <w:pPr>
              <w:spacing w:line="276" w:lineRule="auto"/>
              <w:jc w:val="center"/>
            </w:pPr>
            <w:proofErr w:type="spellStart"/>
            <w:r>
              <w:t>isLocatedIn</w:t>
            </w:r>
            <w:proofErr w:type="spellEnd"/>
            <w:r>
              <w:t>(“Target2”, “Target1”)</w:t>
            </w:r>
          </w:p>
        </w:tc>
        <w:tc>
          <w:tcPr>
            <w:tcW w:w="2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C70683" w14:textId="77777777" w:rsidR="00EE05BF" w:rsidRDefault="00F264CE">
            <w:pPr>
              <w:spacing w:line="276" w:lineRule="auto"/>
              <w:jc w:val="center"/>
            </w:pPr>
            <w:r>
              <w:t xml:space="preserve">The major antigens recognized by </w:t>
            </w:r>
            <w:proofErr w:type="spellStart"/>
            <w:r>
              <w:t>antihistone</w:t>
            </w:r>
            <w:proofErr w:type="spellEnd"/>
            <w:r>
              <w:t xml:space="preserve"> antibody are histones H1, H2A and H2B, which are located on the outer side of the nucleosome</w:t>
            </w:r>
          </w:p>
        </w:tc>
      </w:tr>
      <w:tr w:rsidR="00EE05BF" w14:paraId="0B8DAB71" w14:textId="77777777">
        <w:trPr>
          <w:trHeight w:val="818"/>
        </w:trPr>
        <w:tc>
          <w:tcPr>
            <w:tcW w:w="287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A2563E3" w14:textId="77777777" w:rsidR="00EE05BF" w:rsidRDefault="00EE05BF">
            <w:pPr>
              <w:widowControl w:val="0"/>
              <w:pBdr>
                <w:top w:val="nil"/>
                <w:left w:val="nil"/>
                <w:bottom w:val="nil"/>
                <w:right w:val="nil"/>
                <w:between w:val="nil"/>
              </w:pBdr>
              <w:rPr>
                <w:color w:val="000000"/>
              </w:rPr>
            </w:pPr>
          </w:p>
        </w:tc>
        <w:tc>
          <w:tcPr>
            <w:tcW w:w="2875"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0775F1C8" w14:textId="77777777" w:rsidR="00EE05BF" w:rsidRDefault="00EE05BF">
            <w:pPr>
              <w:widowControl w:val="0"/>
              <w:pBdr>
                <w:top w:val="nil"/>
                <w:left w:val="nil"/>
                <w:bottom w:val="nil"/>
                <w:right w:val="nil"/>
                <w:between w:val="nil"/>
              </w:pBdr>
              <w:rPr>
                <w:color w:val="000000"/>
              </w:rPr>
            </w:pPr>
          </w:p>
        </w:tc>
        <w:tc>
          <w:tcPr>
            <w:tcW w:w="28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C931F0" w14:textId="77777777" w:rsidR="00EE05BF" w:rsidRDefault="00F264CE">
            <w:pPr>
              <w:spacing w:line="276" w:lineRule="auto"/>
              <w:jc w:val="center"/>
            </w:pPr>
            <w:proofErr w:type="spellStart"/>
            <w:r>
              <w:t>isLocatedIn</w:t>
            </w:r>
            <w:proofErr w:type="spellEnd"/>
            <w:r>
              <w:t>(“</w:t>
            </w:r>
            <w:r>
              <w:rPr>
                <w:color w:val="C00000"/>
              </w:rPr>
              <w:t>histone H1</w:t>
            </w:r>
            <w:r>
              <w:t>”, “</w:t>
            </w:r>
            <w:r>
              <w:rPr>
                <w:color w:val="C00000"/>
              </w:rPr>
              <w:t>outer side of the nucleosome</w:t>
            </w:r>
            <w:r>
              <w:t>”)</w:t>
            </w:r>
          </w:p>
        </w:tc>
      </w:tr>
      <w:tr w:rsidR="00EE05BF" w14:paraId="185DBA77" w14:textId="77777777">
        <w:trPr>
          <w:trHeight w:val="818"/>
        </w:trPr>
        <w:tc>
          <w:tcPr>
            <w:tcW w:w="287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4F6CD11" w14:textId="77777777" w:rsidR="00EE05BF" w:rsidRDefault="00EE05BF">
            <w:pPr>
              <w:widowControl w:val="0"/>
              <w:pBdr>
                <w:top w:val="nil"/>
                <w:left w:val="nil"/>
                <w:bottom w:val="nil"/>
                <w:right w:val="nil"/>
                <w:between w:val="nil"/>
              </w:pBdr>
              <w:rPr>
                <w:color w:val="000000"/>
              </w:rPr>
            </w:pPr>
          </w:p>
        </w:tc>
        <w:tc>
          <w:tcPr>
            <w:tcW w:w="2875"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1B25D5CD" w14:textId="77777777" w:rsidR="00EE05BF" w:rsidRDefault="00EE05BF">
            <w:pPr>
              <w:widowControl w:val="0"/>
              <w:pBdr>
                <w:top w:val="nil"/>
                <w:left w:val="nil"/>
                <w:bottom w:val="nil"/>
                <w:right w:val="nil"/>
                <w:between w:val="nil"/>
              </w:pBdr>
              <w:rPr>
                <w:color w:val="000000"/>
              </w:rPr>
            </w:pPr>
          </w:p>
        </w:tc>
        <w:tc>
          <w:tcPr>
            <w:tcW w:w="28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87DE09" w14:textId="77777777" w:rsidR="00EE05BF" w:rsidRDefault="00F264CE">
            <w:pPr>
              <w:spacing w:line="276" w:lineRule="auto"/>
              <w:jc w:val="center"/>
            </w:pPr>
            <w:r>
              <w:t>Anti-Ri antibodies were positive in serum</w:t>
            </w:r>
          </w:p>
        </w:tc>
      </w:tr>
      <w:tr w:rsidR="00EE05BF" w14:paraId="01D4BCA4" w14:textId="77777777">
        <w:trPr>
          <w:trHeight w:val="818"/>
        </w:trPr>
        <w:tc>
          <w:tcPr>
            <w:tcW w:w="287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EC72DBD" w14:textId="77777777" w:rsidR="00EE05BF" w:rsidRDefault="00EE05BF">
            <w:pPr>
              <w:widowControl w:val="0"/>
              <w:pBdr>
                <w:top w:val="nil"/>
                <w:left w:val="nil"/>
                <w:bottom w:val="nil"/>
                <w:right w:val="nil"/>
                <w:between w:val="nil"/>
              </w:pBdr>
              <w:rPr>
                <w:color w:val="000000"/>
              </w:rPr>
            </w:pPr>
          </w:p>
        </w:tc>
        <w:tc>
          <w:tcPr>
            <w:tcW w:w="2875"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1A328294" w14:textId="77777777" w:rsidR="00EE05BF" w:rsidRDefault="00EE05BF">
            <w:pPr>
              <w:widowControl w:val="0"/>
              <w:pBdr>
                <w:top w:val="nil"/>
                <w:left w:val="nil"/>
                <w:bottom w:val="nil"/>
                <w:right w:val="nil"/>
                <w:between w:val="nil"/>
              </w:pBdr>
              <w:rPr>
                <w:color w:val="000000"/>
              </w:rPr>
            </w:pPr>
          </w:p>
        </w:tc>
        <w:tc>
          <w:tcPr>
            <w:tcW w:w="28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C83638" w14:textId="77777777" w:rsidR="00EE05BF" w:rsidRDefault="00F264CE">
            <w:pPr>
              <w:spacing w:line="276" w:lineRule="auto"/>
              <w:jc w:val="center"/>
            </w:pPr>
            <w:proofErr w:type="spellStart"/>
            <w:r>
              <w:t>isLocatedIn</w:t>
            </w:r>
            <w:proofErr w:type="spellEnd"/>
            <w:r>
              <w:t>(“</w:t>
            </w:r>
            <w:r>
              <w:rPr>
                <w:color w:val="3366CC"/>
              </w:rPr>
              <w:t>Anti-Ri antibodies</w:t>
            </w:r>
            <w:r>
              <w:t>”, “</w:t>
            </w:r>
            <w:r>
              <w:rPr>
                <w:color w:val="7030A0"/>
              </w:rPr>
              <w:t>serum</w:t>
            </w:r>
            <w:r>
              <w:t>”)</w:t>
            </w:r>
          </w:p>
        </w:tc>
      </w:tr>
      <w:tr w:rsidR="00EE05BF" w14:paraId="3054C5EE" w14:textId="77777777">
        <w:trPr>
          <w:trHeight w:val="1015"/>
        </w:trPr>
        <w:tc>
          <w:tcPr>
            <w:tcW w:w="2875" w:type="dxa"/>
            <w:vMerge w:val="restart"/>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9559F31" w14:textId="77777777" w:rsidR="00EE05BF" w:rsidRDefault="00F264CE">
            <w:pPr>
              <w:widowControl w:val="0"/>
              <w:pBdr>
                <w:top w:val="nil"/>
                <w:left w:val="nil"/>
                <w:bottom w:val="nil"/>
                <w:right w:val="nil"/>
                <w:between w:val="nil"/>
              </w:pBdr>
              <w:jc w:val="center"/>
              <w:rPr>
                <w:b/>
              </w:rPr>
            </w:pPr>
            <w:proofErr w:type="spellStart"/>
            <w:r>
              <w:rPr>
                <w:b/>
              </w:rPr>
              <w:t>isSubClassOf</w:t>
            </w:r>
            <w:proofErr w:type="spellEnd"/>
          </w:p>
          <w:p w14:paraId="44C8FCCF" w14:textId="77777777" w:rsidR="00EE05BF" w:rsidRDefault="00F264CE">
            <w:pPr>
              <w:spacing w:line="259" w:lineRule="auto"/>
              <w:jc w:val="center"/>
            </w:pPr>
            <w:r>
              <w:rPr>
                <w:b/>
                <w:color w:val="767171"/>
              </w:rPr>
              <w:t>domain</w:t>
            </w:r>
            <w:r>
              <w:t>: any type</w:t>
            </w:r>
          </w:p>
          <w:p w14:paraId="6D977227" w14:textId="77777777" w:rsidR="00EE05BF" w:rsidRDefault="00F264CE">
            <w:pPr>
              <w:spacing w:line="259" w:lineRule="auto"/>
              <w:jc w:val="center"/>
            </w:pPr>
            <w:r>
              <w:rPr>
                <w:b/>
                <w:color w:val="767171"/>
              </w:rPr>
              <w:t>range</w:t>
            </w:r>
            <w:r>
              <w:t>: any same type</w:t>
            </w:r>
          </w:p>
        </w:tc>
        <w:tc>
          <w:tcPr>
            <w:tcW w:w="2875" w:type="dxa"/>
            <w:vMerge w:val="restart"/>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66034404" w14:textId="77777777" w:rsidR="00EE05BF" w:rsidRDefault="00F264CE">
            <w:pPr>
              <w:widowControl w:val="0"/>
              <w:pBdr>
                <w:top w:val="nil"/>
                <w:left w:val="nil"/>
                <w:bottom w:val="nil"/>
                <w:right w:val="nil"/>
                <w:between w:val="nil"/>
              </w:pBdr>
              <w:jc w:val="center"/>
              <w:rPr>
                <w:color w:val="000000"/>
              </w:rPr>
            </w:pPr>
            <w:r>
              <w:t xml:space="preserve">Relation to use in order to describe a hierarchical relationship between 2 entities, where one of them is a more specific type of the other entity. </w:t>
            </w:r>
          </w:p>
        </w:tc>
        <w:tc>
          <w:tcPr>
            <w:tcW w:w="28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55456A" w14:textId="77777777" w:rsidR="00EE05BF" w:rsidRDefault="00F264CE">
            <w:pPr>
              <w:spacing w:line="276" w:lineRule="auto"/>
              <w:jc w:val="center"/>
            </w:pPr>
            <w:proofErr w:type="spellStart"/>
            <w:r>
              <w:t>Oncocytic</w:t>
            </w:r>
            <w:proofErr w:type="spellEnd"/>
            <w:r>
              <w:t xml:space="preserve"> carcinoma is a rare malignant tumor</w:t>
            </w:r>
          </w:p>
        </w:tc>
      </w:tr>
      <w:tr w:rsidR="00EE05BF" w14:paraId="539B79D4" w14:textId="77777777">
        <w:trPr>
          <w:trHeight w:val="1015"/>
        </w:trPr>
        <w:tc>
          <w:tcPr>
            <w:tcW w:w="287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F3A0DCF" w14:textId="77777777" w:rsidR="00EE05BF" w:rsidRDefault="00EE05BF">
            <w:pPr>
              <w:widowControl w:val="0"/>
              <w:pBdr>
                <w:top w:val="nil"/>
                <w:left w:val="nil"/>
                <w:bottom w:val="nil"/>
                <w:right w:val="nil"/>
                <w:between w:val="nil"/>
              </w:pBdr>
              <w:jc w:val="center"/>
              <w:rPr>
                <w:b/>
              </w:rPr>
            </w:pPr>
          </w:p>
        </w:tc>
        <w:tc>
          <w:tcPr>
            <w:tcW w:w="2875"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31308994" w14:textId="77777777" w:rsidR="00EE05BF" w:rsidRDefault="00EE05BF">
            <w:pPr>
              <w:widowControl w:val="0"/>
              <w:pBdr>
                <w:top w:val="nil"/>
                <w:left w:val="nil"/>
                <w:bottom w:val="nil"/>
                <w:right w:val="nil"/>
                <w:between w:val="nil"/>
              </w:pBdr>
              <w:jc w:val="center"/>
            </w:pPr>
          </w:p>
        </w:tc>
        <w:tc>
          <w:tcPr>
            <w:tcW w:w="287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1AC244" w14:textId="77777777" w:rsidR="00EE05BF" w:rsidRDefault="00F264CE">
            <w:pPr>
              <w:spacing w:line="276" w:lineRule="auto"/>
              <w:jc w:val="center"/>
            </w:pPr>
            <w:proofErr w:type="spellStart"/>
            <w:r>
              <w:t>isSubclassOf</w:t>
            </w:r>
            <w:proofErr w:type="spellEnd"/>
            <w:r>
              <w:t>(“</w:t>
            </w:r>
            <w:proofErr w:type="spellStart"/>
            <w:r>
              <w:rPr>
                <w:color w:val="70AD47"/>
              </w:rPr>
              <w:t>Oncocytic</w:t>
            </w:r>
            <w:proofErr w:type="spellEnd"/>
            <w:r>
              <w:rPr>
                <w:color w:val="70AD47"/>
              </w:rPr>
              <w:t xml:space="preserve"> carcinoma</w:t>
            </w:r>
            <w:r>
              <w:t>”, “</w:t>
            </w:r>
            <w:r>
              <w:rPr>
                <w:color w:val="70AD47"/>
              </w:rPr>
              <w:t>malignant tumor</w:t>
            </w:r>
            <w:r>
              <w:t>”)</w:t>
            </w:r>
          </w:p>
        </w:tc>
      </w:tr>
    </w:tbl>
    <w:p w14:paraId="0E9D8CAA" w14:textId="77777777" w:rsidR="00EE05BF" w:rsidRDefault="00EE05BF">
      <w:pPr>
        <w:pBdr>
          <w:top w:val="nil"/>
          <w:left w:val="nil"/>
          <w:bottom w:val="nil"/>
          <w:right w:val="nil"/>
          <w:between w:val="nil"/>
        </w:pBdr>
        <w:ind w:left="720"/>
        <w:rPr>
          <w:color w:val="000000"/>
        </w:rPr>
      </w:pPr>
    </w:p>
    <w:p w14:paraId="4D2A16A5" w14:textId="77777777" w:rsidR="00EE05BF" w:rsidRDefault="00F264CE">
      <w:pPr>
        <w:pStyle w:val="Titre2"/>
      </w:pPr>
      <w:r>
        <w:t>General rules</w:t>
      </w:r>
    </w:p>
    <w:p w14:paraId="62B39D51" w14:textId="77777777" w:rsidR="00EE05BF" w:rsidRDefault="00EE05BF">
      <w:pPr>
        <w:pBdr>
          <w:top w:val="nil"/>
          <w:left w:val="nil"/>
          <w:bottom w:val="nil"/>
          <w:right w:val="nil"/>
          <w:between w:val="nil"/>
        </w:pBdr>
        <w:spacing w:after="0"/>
        <w:ind w:left="720"/>
        <w:rPr>
          <w:color w:val="000000"/>
        </w:rPr>
      </w:pPr>
    </w:p>
    <w:p w14:paraId="1FA7236A" w14:textId="77777777" w:rsidR="00EE05BF" w:rsidRDefault="00EE05BF">
      <w:pPr>
        <w:pBdr>
          <w:top w:val="nil"/>
          <w:left w:val="nil"/>
          <w:bottom w:val="nil"/>
          <w:right w:val="nil"/>
          <w:between w:val="nil"/>
        </w:pBdr>
        <w:spacing w:after="0"/>
        <w:ind w:left="720"/>
        <w:rPr>
          <w:color w:val="000000"/>
        </w:rPr>
      </w:pPr>
    </w:p>
    <w:p w14:paraId="6A065E11" w14:textId="77777777" w:rsidR="00EE05BF" w:rsidRDefault="00F264CE">
      <w:pPr>
        <w:numPr>
          <w:ilvl w:val="0"/>
          <w:numId w:val="4"/>
        </w:numPr>
        <w:pBdr>
          <w:top w:val="nil"/>
          <w:left w:val="nil"/>
          <w:bottom w:val="nil"/>
          <w:right w:val="nil"/>
          <w:between w:val="nil"/>
        </w:pBdr>
        <w:spacing w:after="0"/>
      </w:pPr>
      <w:r>
        <w:rPr>
          <w:color w:val="000000"/>
        </w:rPr>
        <w:t xml:space="preserve">As a general rule, be as precise and exclusive as you can: if you can use a more specific relation, do it. If you can limit the annotation by excluding a few words from it without losing information, do it. Example: </w:t>
      </w:r>
      <w:r>
        <w:t xml:space="preserve">“a mild case of chronic hepatitis C” =&gt; </w:t>
      </w:r>
      <w:r>
        <w:t>this should be annotated as disease: “</w:t>
      </w:r>
      <w:r>
        <w:rPr>
          <w:color w:val="70AD47"/>
        </w:rPr>
        <w:t>chronic hepatitis C</w:t>
      </w:r>
      <w:r>
        <w:t xml:space="preserve">”, because the adjective “mild” is not part of </w:t>
      </w:r>
      <w:r>
        <w:lastRenderedPageBreak/>
        <w:t>the disorder’s name. However “chronic” is part of the name. There can be exceptions depending on the context.</w:t>
      </w:r>
    </w:p>
    <w:p w14:paraId="115393BC" w14:textId="77777777" w:rsidR="00EE05BF" w:rsidRDefault="00F264CE">
      <w:pPr>
        <w:numPr>
          <w:ilvl w:val="0"/>
          <w:numId w:val="4"/>
        </w:numPr>
        <w:pBdr>
          <w:top w:val="nil"/>
          <w:left w:val="nil"/>
          <w:bottom w:val="nil"/>
          <w:right w:val="nil"/>
          <w:between w:val="nil"/>
        </w:pBdr>
        <w:spacing w:after="0"/>
      </w:pPr>
      <w:r>
        <w:rPr>
          <w:color w:val="000000"/>
        </w:rPr>
        <w:t>Do not include determinants or articles in</w:t>
      </w:r>
      <w:r>
        <w:rPr>
          <w:color w:val="000000"/>
        </w:rPr>
        <w:t xml:space="preserve"> an annotation if they are the first word of that annotation. Also, do not include extra spaces, or punct</w:t>
      </w:r>
      <w:r>
        <w:t>uation.</w:t>
      </w:r>
    </w:p>
    <w:p w14:paraId="4E5759CE" w14:textId="77777777" w:rsidR="00EE05BF" w:rsidRDefault="00F264CE">
      <w:pPr>
        <w:numPr>
          <w:ilvl w:val="0"/>
          <w:numId w:val="4"/>
        </w:numPr>
        <w:pBdr>
          <w:top w:val="nil"/>
          <w:left w:val="nil"/>
          <w:bottom w:val="nil"/>
          <w:right w:val="nil"/>
          <w:between w:val="nil"/>
        </w:pBdr>
        <w:spacing w:after="0"/>
      </w:pPr>
      <w:r>
        <w:t>A relation should not be annotated if the 2 entities linked by that relation are not in the same sentence.</w:t>
      </w:r>
    </w:p>
    <w:p w14:paraId="081D0AC2" w14:textId="77777777" w:rsidR="00EE05BF" w:rsidRDefault="00F264CE">
      <w:pPr>
        <w:numPr>
          <w:ilvl w:val="0"/>
          <w:numId w:val="4"/>
        </w:numPr>
        <w:pBdr>
          <w:top w:val="nil"/>
          <w:left w:val="nil"/>
          <w:bottom w:val="nil"/>
          <w:right w:val="nil"/>
          <w:between w:val="nil"/>
        </w:pBdr>
        <w:spacing w:after="0"/>
      </w:pPr>
      <w:r>
        <w:t>Annotate only explicit relations. If a relation is implied but not written in the text (the annotator has to deduce it), then it should not be annota</w:t>
      </w:r>
      <w:r>
        <w:t>ted.</w:t>
      </w:r>
    </w:p>
    <w:p w14:paraId="5D325C90" w14:textId="77777777" w:rsidR="00EE05BF" w:rsidRDefault="00F264CE">
      <w:pPr>
        <w:numPr>
          <w:ilvl w:val="0"/>
          <w:numId w:val="4"/>
        </w:numPr>
        <w:pBdr>
          <w:top w:val="nil"/>
          <w:left w:val="nil"/>
          <w:bottom w:val="nil"/>
          <w:right w:val="nil"/>
          <w:between w:val="nil"/>
        </w:pBdr>
        <w:spacing w:after="0"/>
      </w:pPr>
      <w:r>
        <w:rPr>
          <w:color w:val="000000"/>
        </w:rPr>
        <w:t xml:space="preserve">When annotating autoantibodies </w:t>
      </w:r>
      <w:r>
        <w:rPr>
          <w:color w:val="C00000"/>
        </w:rPr>
        <w:t>T</w:t>
      </w:r>
      <w:r>
        <w:rPr>
          <w:color w:val="C00000"/>
        </w:rPr>
        <w:t>argets</w:t>
      </w:r>
      <w:r>
        <w:rPr>
          <w:color w:val="000000"/>
        </w:rPr>
        <w:t xml:space="preserve">, be as specific as possible. If you can limit </w:t>
      </w:r>
      <w:r>
        <w:t>the annotation</w:t>
      </w:r>
      <w:r>
        <w:rPr>
          <w:color w:val="000000"/>
        </w:rPr>
        <w:t xml:space="preserve"> to part of a molecu</w:t>
      </w:r>
      <w:r>
        <w:t>le, rather than the whole molecule, you should do that. E.g. : “</w:t>
      </w:r>
      <w:r>
        <w:rPr>
          <w:color w:val="C00000"/>
        </w:rPr>
        <w:t>outer side of the nucleosome</w:t>
      </w:r>
      <w:r>
        <w:t>” instead of “</w:t>
      </w:r>
      <w:r>
        <w:rPr>
          <w:color w:val="C00000"/>
        </w:rPr>
        <w:t>nucleosome</w:t>
      </w:r>
      <w:r>
        <w:t>”</w:t>
      </w:r>
    </w:p>
    <w:p w14:paraId="7015E0F8" w14:textId="77777777" w:rsidR="00EE05BF" w:rsidRDefault="00F264CE">
      <w:pPr>
        <w:numPr>
          <w:ilvl w:val="0"/>
          <w:numId w:val="4"/>
        </w:numPr>
        <w:pBdr>
          <w:top w:val="nil"/>
          <w:left w:val="nil"/>
          <w:bottom w:val="nil"/>
          <w:right w:val="nil"/>
          <w:between w:val="nil"/>
        </w:pBdr>
        <w:spacing w:after="0"/>
      </w:pPr>
      <w:r>
        <w:rPr>
          <w:color w:val="000000"/>
        </w:rPr>
        <w:t xml:space="preserve">When the name </w:t>
      </w:r>
      <w:r>
        <w:rPr>
          <w:color w:val="000000"/>
        </w:rPr>
        <w:t xml:space="preserve">of a </w:t>
      </w:r>
      <w:r>
        <w:rPr>
          <w:color w:val="70AD47"/>
        </w:rPr>
        <w:t>D</w:t>
      </w:r>
      <w:r>
        <w:rPr>
          <w:color w:val="70AD47"/>
        </w:rPr>
        <w:t>isease</w:t>
      </w:r>
      <w:r>
        <w:rPr>
          <w:color w:val="000000"/>
        </w:rPr>
        <w:t xml:space="preserve"> or </w:t>
      </w:r>
      <w:r>
        <w:rPr>
          <w:color w:val="5B9BD5"/>
        </w:rPr>
        <w:t>A</w:t>
      </w:r>
      <w:r>
        <w:rPr>
          <w:color w:val="5B9BD5"/>
        </w:rPr>
        <w:t>utoantibody</w:t>
      </w:r>
      <w:r>
        <w:rPr>
          <w:color w:val="000000"/>
        </w:rPr>
        <w:t xml:space="preserve"> is first mentioned in a text along with a shortened form, do not include the shortened form in the main annotation (unless </w:t>
      </w:r>
      <w:r>
        <w:t>it is included inside the main entity)</w:t>
      </w:r>
      <w:r>
        <w:rPr>
          <w:color w:val="000000"/>
        </w:rPr>
        <w:t>. The abbreviation should have its own entity annotation, linked t</w:t>
      </w:r>
      <w:r>
        <w:rPr>
          <w:color w:val="000000"/>
        </w:rPr>
        <w:t>o the main name by the “</w:t>
      </w:r>
      <w:proofErr w:type="spellStart"/>
      <w:r>
        <w:rPr>
          <w:color w:val="000000"/>
        </w:rPr>
        <w:t>isSynonymOf</w:t>
      </w:r>
      <w:proofErr w:type="spellEnd"/>
      <w:r>
        <w:rPr>
          <w:color w:val="000000"/>
        </w:rPr>
        <w:t xml:space="preserve">” relation (for its first occurrence). Then, following occurrences of the shortened form can be annotated like a regular entity. Example: </w:t>
      </w:r>
      <w:r>
        <w:rPr>
          <w:noProof/>
          <w:color w:val="000000"/>
        </w:rPr>
        <w:drawing>
          <wp:inline distT="114300" distB="114300" distL="114300" distR="114300" wp14:anchorId="3CD80916" wp14:editId="46E1534E">
            <wp:extent cx="3033438" cy="10451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3033438" cy="1045175"/>
                    </a:xfrm>
                    <a:prstGeom prst="rect">
                      <a:avLst/>
                    </a:prstGeom>
                    <a:ln/>
                  </pic:spPr>
                </pic:pic>
              </a:graphicData>
            </a:graphic>
          </wp:inline>
        </w:drawing>
      </w:r>
    </w:p>
    <w:p w14:paraId="12647013" w14:textId="77777777" w:rsidR="00EE05BF" w:rsidRDefault="00F264CE">
      <w:pPr>
        <w:numPr>
          <w:ilvl w:val="0"/>
          <w:numId w:val="4"/>
        </w:numPr>
        <w:pBdr>
          <w:top w:val="nil"/>
          <w:left w:val="nil"/>
          <w:bottom w:val="nil"/>
          <w:right w:val="nil"/>
          <w:between w:val="nil"/>
        </w:pBdr>
        <w:spacing w:after="0"/>
      </w:pPr>
      <w:r>
        <w:rPr>
          <w:color w:val="000000"/>
        </w:rPr>
        <w:t>If an entity is enclosed between quotes, parentheses, brackets, or any other type</w:t>
      </w:r>
      <w:r>
        <w:rPr>
          <w:color w:val="000000"/>
        </w:rPr>
        <w:t xml:space="preserve"> of special characters, these special characters should not be included in the annotation.</w:t>
      </w:r>
    </w:p>
    <w:p w14:paraId="322C449F" w14:textId="77777777" w:rsidR="00EE05BF" w:rsidRDefault="00F264CE">
      <w:pPr>
        <w:numPr>
          <w:ilvl w:val="0"/>
          <w:numId w:val="4"/>
        </w:numPr>
        <w:pBdr>
          <w:top w:val="nil"/>
          <w:left w:val="nil"/>
          <w:bottom w:val="nil"/>
          <w:right w:val="nil"/>
          <w:between w:val="nil"/>
        </w:pBdr>
        <w:spacing w:after="0"/>
      </w:pPr>
      <w:r>
        <w:rPr>
          <w:color w:val="000000"/>
        </w:rPr>
        <w:t>Two entiti</w:t>
      </w:r>
      <w:r>
        <w:t>es</w:t>
      </w:r>
      <w:r>
        <w:rPr>
          <w:color w:val="000000"/>
        </w:rPr>
        <w:t xml:space="preserve"> can be </w:t>
      </w:r>
      <w:r>
        <w:t>related</w:t>
      </w:r>
      <w:r>
        <w:rPr>
          <w:color w:val="000000"/>
        </w:rPr>
        <w:t xml:space="preserve">  by “</w:t>
      </w:r>
      <w:proofErr w:type="spellStart"/>
      <w:r>
        <w:rPr>
          <w:color w:val="000000"/>
        </w:rPr>
        <w:t>isRefTo</w:t>
      </w:r>
      <w:proofErr w:type="spellEnd"/>
      <w:r>
        <w:rPr>
          <w:color w:val="000000"/>
        </w:rPr>
        <w:t xml:space="preserve">”, if </w:t>
      </w:r>
      <w:r>
        <w:t>both are two distinct mentions of the same</w:t>
      </w:r>
      <w:r>
        <w:rPr>
          <w:color w:val="000000"/>
        </w:rPr>
        <w:t xml:space="preserve"> entity, within the same sentence. “</w:t>
      </w:r>
      <w:proofErr w:type="spellStart"/>
      <w:r>
        <w:rPr>
          <w:color w:val="000000"/>
        </w:rPr>
        <w:t>isRefTo</w:t>
      </w:r>
      <w:proofErr w:type="spellEnd"/>
      <w:r>
        <w:rPr>
          <w:color w:val="000000"/>
        </w:rPr>
        <w:t xml:space="preserve">” must not be used to refer to an entity outside the current sentence. If an entity is </w:t>
      </w:r>
      <w:r>
        <w:t>indicated to be a synonym of another “</w:t>
      </w:r>
      <w:proofErr w:type="spellStart"/>
      <w:r>
        <w:t>isSynonymOf</w:t>
      </w:r>
      <w:proofErr w:type="spellEnd"/>
      <w:r>
        <w:t>” must be used.</w:t>
      </w:r>
    </w:p>
    <w:p w14:paraId="675158AF" w14:textId="77777777" w:rsidR="00EE05BF" w:rsidRDefault="00F264CE">
      <w:pPr>
        <w:numPr>
          <w:ilvl w:val="0"/>
          <w:numId w:val="4"/>
        </w:numPr>
        <w:pBdr>
          <w:top w:val="nil"/>
          <w:left w:val="nil"/>
          <w:bottom w:val="nil"/>
          <w:right w:val="nil"/>
          <w:between w:val="nil"/>
        </w:pBdr>
        <w:spacing w:after="0"/>
      </w:pPr>
      <w:r>
        <w:t>“</w:t>
      </w:r>
      <w:proofErr w:type="spellStart"/>
      <w:r>
        <w:t>isLocatedIn</w:t>
      </w:r>
      <w:proofErr w:type="spellEnd"/>
      <w:r>
        <w:t>” should not be used for sentences of type “epito</w:t>
      </w:r>
      <w:r>
        <w:t xml:space="preserve">pe located on xxx”. In that case, “xxx” should be annotated as a </w:t>
      </w:r>
      <w:r>
        <w:rPr>
          <w:color w:val="C00000"/>
        </w:rPr>
        <w:t>Target</w:t>
      </w:r>
      <w:r>
        <w:t xml:space="preserve">. If an indication more precise than “epitope” or more precise than a similar generic term is given, then that expression can be annotated as a </w:t>
      </w:r>
      <w:r>
        <w:rPr>
          <w:color w:val="C00000"/>
        </w:rPr>
        <w:t>Target</w:t>
      </w:r>
      <w:r>
        <w:t xml:space="preserve"> located on the “xxx” </w:t>
      </w:r>
      <w:r>
        <w:rPr>
          <w:color w:val="C00000"/>
        </w:rPr>
        <w:t>Target</w:t>
      </w:r>
      <w:r>
        <w:t>.</w:t>
      </w:r>
    </w:p>
    <w:p w14:paraId="36C41202" w14:textId="77777777" w:rsidR="00EE05BF" w:rsidRDefault="00EE05BF">
      <w:pPr>
        <w:pBdr>
          <w:top w:val="nil"/>
          <w:left w:val="nil"/>
          <w:bottom w:val="nil"/>
          <w:right w:val="nil"/>
          <w:between w:val="nil"/>
        </w:pBdr>
        <w:ind w:left="1440"/>
        <w:rPr>
          <w:color w:val="000000"/>
        </w:rPr>
      </w:pPr>
    </w:p>
    <w:p w14:paraId="1AF3A7CD" w14:textId="77777777" w:rsidR="00EE05BF" w:rsidRDefault="00F264CE">
      <w:pPr>
        <w:pStyle w:val="Titre2"/>
      </w:pPr>
      <w:r>
        <w:t>Non-exhaustive list of ambiguous cases</w:t>
      </w:r>
    </w:p>
    <w:p w14:paraId="10792B7B" w14:textId="77777777" w:rsidR="00EE05BF" w:rsidRDefault="00EE05BF"/>
    <w:p w14:paraId="1385D684" w14:textId="77777777" w:rsidR="00EE05BF" w:rsidRDefault="00F264CE">
      <w:pPr>
        <w:numPr>
          <w:ilvl w:val="0"/>
          <w:numId w:val="3"/>
        </w:numPr>
        <w:pBdr>
          <w:top w:val="nil"/>
          <w:left w:val="nil"/>
          <w:bottom w:val="nil"/>
          <w:right w:val="nil"/>
          <w:between w:val="nil"/>
        </w:pBdr>
        <w:spacing w:after="0"/>
      </w:pPr>
      <w:r>
        <w:rPr>
          <w:b/>
          <w:color w:val="000000"/>
        </w:rPr>
        <w:t>Disease with adjectives</w:t>
      </w:r>
      <w:r>
        <w:rPr>
          <w:color w:val="000000"/>
        </w:rPr>
        <w:t>: annotate only the disease without its adjectives, unless the name of the disease includes the adjectives. Example: in “juvenile dermatomyositis”, “juvenile” should be included in the annotati</w:t>
      </w:r>
      <w:r>
        <w:rPr>
          <w:color w:val="000000"/>
        </w:rPr>
        <w:t>on because the full name of the disease is “</w:t>
      </w:r>
      <w:r>
        <w:rPr>
          <w:color w:val="70AD47"/>
        </w:rPr>
        <w:t>juvenile dermatomyositis</w:t>
      </w:r>
      <w:r>
        <w:rPr>
          <w:color w:val="000000"/>
        </w:rPr>
        <w:t>”. If only “myositis” is included, it is not possible to discriminate with the disease “</w:t>
      </w:r>
      <w:r>
        <w:rPr>
          <w:color w:val="70AD47"/>
        </w:rPr>
        <w:t>adult dermatomyositis</w:t>
      </w:r>
      <w:r>
        <w:rPr>
          <w:color w:val="000000"/>
        </w:rPr>
        <w:t xml:space="preserve">”. </w:t>
      </w:r>
      <w:r>
        <w:t xml:space="preserve">To know when a disease with symptoms is a separate disease, check if it has </w:t>
      </w:r>
      <w:r>
        <w:t>a code in</w:t>
      </w:r>
      <w:hyperlink r:id="rId26">
        <w:r>
          <w:t xml:space="preserve"> </w:t>
        </w:r>
      </w:hyperlink>
      <w:hyperlink r:id="rId27">
        <w:r>
          <w:rPr>
            <w:color w:val="1155CC"/>
            <w:u w:val="single"/>
          </w:rPr>
          <w:t>SNOMED CT</w:t>
        </w:r>
      </w:hyperlink>
      <w:r>
        <w:t xml:space="preserve"> or </w:t>
      </w:r>
      <w:hyperlink r:id="rId28">
        <w:proofErr w:type="spellStart"/>
        <w:r>
          <w:rPr>
            <w:color w:val="1155CC"/>
            <w:u w:val="single"/>
          </w:rPr>
          <w:t>Orphanet</w:t>
        </w:r>
        <w:proofErr w:type="spellEnd"/>
      </w:hyperlink>
      <w:r>
        <w:t>.</w:t>
      </w:r>
    </w:p>
    <w:p w14:paraId="10834EB6" w14:textId="77777777" w:rsidR="00EE05BF" w:rsidRDefault="00F264CE">
      <w:pPr>
        <w:numPr>
          <w:ilvl w:val="0"/>
          <w:numId w:val="3"/>
        </w:numPr>
        <w:pBdr>
          <w:top w:val="nil"/>
          <w:left w:val="nil"/>
          <w:bottom w:val="nil"/>
          <w:right w:val="nil"/>
          <w:between w:val="nil"/>
        </w:pBdr>
        <w:spacing w:after="0"/>
      </w:pPr>
      <w:r>
        <w:rPr>
          <w:b/>
          <w:color w:val="000000"/>
        </w:rPr>
        <w:t>Disease with symptoms/clinical signs</w:t>
      </w:r>
      <w:r>
        <w:rPr>
          <w:color w:val="000000"/>
        </w:rPr>
        <w:t xml:space="preserve">: annotate the disease and its symptoms separately, unless the disease with these specific symptoms is a </w:t>
      </w:r>
      <w:r>
        <w:rPr>
          <w:color w:val="000000"/>
        </w:rPr>
        <w:t xml:space="preserve">different subtype of the disease. Example: </w:t>
      </w:r>
      <w:r>
        <w:rPr>
          <w:color w:val="000000"/>
        </w:rPr>
        <w:lastRenderedPageBreak/>
        <w:t>“</w:t>
      </w:r>
      <w:r>
        <w:rPr>
          <w:color w:val="70AD47"/>
        </w:rPr>
        <w:t>eosinophilic granulomatosis with polyangiitis</w:t>
      </w:r>
      <w:r>
        <w:rPr>
          <w:color w:val="000000"/>
        </w:rPr>
        <w:t>”, shortened as “</w:t>
      </w:r>
      <w:r>
        <w:rPr>
          <w:color w:val="70AD47"/>
        </w:rPr>
        <w:t>EGPA</w:t>
      </w:r>
      <w:r>
        <w:rPr>
          <w:color w:val="000000"/>
        </w:rPr>
        <w:t xml:space="preserve">”, is a disease of its own. Here “polyangiitis” should not be annotated separately. </w:t>
      </w:r>
      <w:r>
        <w:t>To know when a disease with symptoms is a separate disease, check if it has a code in</w:t>
      </w:r>
      <w:hyperlink r:id="rId29">
        <w:r>
          <w:t xml:space="preserve"> </w:t>
        </w:r>
      </w:hyperlink>
      <w:hyperlink r:id="rId30">
        <w:r>
          <w:rPr>
            <w:color w:val="1155CC"/>
            <w:u w:val="single"/>
          </w:rPr>
          <w:t>SNOMED CT</w:t>
        </w:r>
      </w:hyperlink>
      <w:r>
        <w:t xml:space="preserve"> or </w:t>
      </w:r>
      <w:hyperlink r:id="rId31">
        <w:proofErr w:type="spellStart"/>
        <w:r>
          <w:rPr>
            <w:color w:val="1155CC"/>
            <w:u w:val="single"/>
          </w:rPr>
          <w:t>Orphanet</w:t>
        </w:r>
        <w:proofErr w:type="spellEnd"/>
      </w:hyperlink>
      <w:r>
        <w:t>.</w:t>
      </w:r>
    </w:p>
    <w:p w14:paraId="186F5DE8" w14:textId="77777777" w:rsidR="00EE05BF" w:rsidRDefault="00F264CE">
      <w:pPr>
        <w:numPr>
          <w:ilvl w:val="0"/>
          <w:numId w:val="3"/>
        </w:numPr>
        <w:spacing w:before="240" w:after="240"/>
      </w:pPr>
      <w:r>
        <w:rPr>
          <w:b/>
        </w:rPr>
        <w:t>Disease that can also be a symptom / symptom that can also be a d</w:t>
      </w:r>
      <w:r>
        <w:rPr>
          <w:b/>
        </w:rPr>
        <w:t>isease</w:t>
      </w:r>
      <w:r>
        <w:t>: if an expression could be annotated as a symptom or a disease, check in</w:t>
      </w:r>
      <w:hyperlink r:id="rId32">
        <w:r>
          <w:t xml:space="preserve"> </w:t>
        </w:r>
      </w:hyperlink>
      <w:hyperlink r:id="rId33">
        <w:r>
          <w:rPr>
            <w:color w:val="1155CC"/>
            <w:u w:val="single"/>
          </w:rPr>
          <w:t>SNOMED</w:t>
        </w:r>
      </w:hyperlink>
      <w:r>
        <w:t xml:space="preserve"> or </w:t>
      </w:r>
      <w:hyperlink r:id="rId34">
        <w:proofErr w:type="spellStart"/>
        <w:r>
          <w:rPr>
            <w:color w:val="1155CC"/>
            <w:u w:val="single"/>
          </w:rPr>
          <w:t>Orphanet</w:t>
        </w:r>
        <w:proofErr w:type="spellEnd"/>
      </w:hyperlink>
      <w:r>
        <w:t xml:space="preserve"> if it is recorded as a finding or a disorder. If, in the context of the tex</w:t>
      </w:r>
      <w:r>
        <w:t>t, the annotator believes the expression is not of the type specified in</w:t>
      </w:r>
      <w:hyperlink r:id="rId35">
        <w:r>
          <w:t xml:space="preserve"> </w:t>
        </w:r>
      </w:hyperlink>
      <w:hyperlink r:id="rId36">
        <w:r>
          <w:rPr>
            <w:color w:val="1155CC"/>
            <w:u w:val="single"/>
          </w:rPr>
          <w:t>SNOMED CT</w:t>
        </w:r>
      </w:hyperlink>
      <w:r>
        <w:t xml:space="preserve"> or </w:t>
      </w:r>
      <w:hyperlink r:id="rId37">
        <w:proofErr w:type="spellStart"/>
        <w:r>
          <w:rPr>
            <w:color w:val="1155CC"/>
            <w:u w:val="single"/>
          </w:rPr>
          <w:t>Orphanet</w:t>
        </w:r>
        <w:proofErr w:type="spellEnd"/>
      </w:hyperlink>
      <w:r>
        <w:t>, then the expression should be annotated as both types.</w:t>
      </w:r>
    </w:p>
    <w:p w14:paraId="03725332" w14:textId="77777777" w:rsidR="00EE05BF" w:rsidRDefault="00F264CE">
      <w:pPr>
        <w:numPr>
          <w:ilvl w:val="0"/>
          <w:numId w:val="3"/>
        </w:numPr>
        <w:pBdr>
          <w:top w:val="nil"/>
          <w:left w:val="nil"/>
          <w:bottom w:val="nil"/>
          <w:right w:val="nil"/>
          <w:between w:val="nil"/>
        </w:pBdr>
        <w:spacing w:after="0"/>
      </w:pPr>
      <w:r>
        <w:rPr>
          <w:b/>
          <w:color w:val="000000"/>
        </w:rPr>
        <w:t>Abbreviation in the mid</w:t>
      </w:r>
      <w:r>
        <w:rPr>
          <w:b/>
          <w:color w:val="000000"/>
        </w:rPr>
        <w:t>dle of an entity</w:t>
      </w:r>
      <w:r>
        <w:rPr>
          <w:color w:val="000000"/>
        </w:rPr>
        <w:t xml:space="preserve">: </w:t>
      </w:r>
      <w:r>
        <w:t xml:space="preserve">when an abbreviation is included in the longer expression it stands for, the abbreviation should not be annotated separately and linked using </w:t>
      </w:r>
      <w:proofErr w:type="spellStart"/>
      <w:r>
        <w:t>discontiguousEntity</w:t>
      </w:r>
      <w:proofErr w:type="spellEnd"/>
      <w:r>
        <w:t xml:space="preserve"> relation. Instead there should be only one entity annotation, including the </w:t>
      </w:r>
      <w:r>
        <w:t xml:space="preserve">abbreviation. If the abbreviation comes before or after the larger entity it stands for, then it should be annotated as a separate entity, and linked with </w:t>
      </w:r>
      <w:proofErr w:type="spellStart"/>
      <w:r>
        <w:t>refTo</w:t>
      </w:r>
      <w:proofErr w:type="spellEnd"/>
      <w:r>
        <w:t xml:space="preserve"> or </w:t>
      </w:r>
      <w:proofErr w:type="spellStart"/>
      <w:r>
        <w:t>isSynonymOf</w:t>
      </w:r>
      <w:proofErr w:type="spellEnd"/>
      <w:r>
        <w:t xml:space="preserve"> relations.</w:t>
      </w:r>
    </w:p>
    <w:p w14:paraId="53EE4455" w14:textId="77777777" w:rsidR="00EE05BF" w:rsidRDefault="00F264CE">
      <w:pPr>
        <w:numPr>
          <w:ilvl w:val="0"/>
          <w:numId w:val="3"/>
        </w:numPr>
        <w:pBdr>
          <w:top w:val="nil"/>
          <w:left w:val="nil"/>
          <w:bottom w:val="nil"/>
          <w:right w:val="nil"/>
          <w:between w:val="nil"/>
        </w:pBdr>
        <w:spacing w:after="0"/>
      </w:pPr>
      <w:r>
        <w:rPr>
          <w:b/>
          <w:color w:val="000000"/>
        </w:rPr>
        <w:t>Several entities mentioned together in an inseparable way</w:t>
      </w:r>
    </w:p>
    <w:p w14:paraId="76C0604B" w14:textId="77777777" w:rsidR="00EE05BF" w:rsidRDefault="00F264CE">
      <w:pPr>
        <w:ind w:left="720"/>
      </w:pPr>
      <w:r>
        <w:t>For example in “lung and breast cancer”, 2 diseases are mentioned: “</w:t>
      </w:r>
      <w:r>
        <w:rPr>
          <w:color w:val="70AD47"/>
        </w:rPr>
        <w:t>lung cancer</w:t>
      </w:r>
      <w:r>
        <w:t>” and “</w:t>
      </w:r>
      <w:r>
        <w:rPr>
          <w:color w:val="70AD47"/>
        </w:rPr>
        <w:t>breast cancer</w:t>
      </w:r>
      <w:r>
        <w:t xml:space="preserve">”, but it is not possible to annotate them separately. So they should be annotated that way: </w:t>
      </w:r>
      <w:proofErr w:type="spellStart"/>
      <w:r>
        <w:t>discon</w:t>
      </w:r>
      <w:r>
        <w:t>tiguousEntity</w:t>
      </w:r>
      <w:proofErr w:type="spellEnd"/>
      <w:r>
        <w:t>(“</w:t>
      </w:r>
      <w:proofErr w:type="spellStart"/>
      <w:r>
        <w:rPr>
          <w:color w:val="70AD47"/>
        </w:rPr>
        <w:t>lung</w:t>
      </w:r>
      <w:r>
        <w:t>”,“</w:t>
      </w:r>
      <w:r>
        <w:rPr>
          <w:color w:val="70AD47"/>
        </w:rPr>
        <w:t>cancer</w:t>
      </w:r>
      <w:proofErr w:type="spellEnd"/>
      <w:r>
        <w:t xml:space="preserve">”); and </w:t>
      </w:r>
      <w:proofErr w:type="spellStart"/>
      <w:r>
        <w:t>discontiguousEntity</w:t>
      </w:r>
      <w:proofErr w:type="spellEnd"/>
      <w:r>
        <w:t xml:space="preserve"> (“</w:t>
      </w:r>
      <w:r>
        <w:rPr>
          <w:color w:val="70AD47"/>
        </w:rPr>
        <w:t>breast</w:t>
      </w:r>
      <w:r>
        <w:t>”, “</w:t>
      </w:r>
      <w:r>
        <w:rPr>
          <w:color w:val="70AD47"/>
        </w:rPr>
        <w:t>cancer</w:t>
      </w:r>
      <w:r>
        <w:t xml:space="preserve">”). Note that in this case, “lung” and “breast” are annotated as </w:t>
      </w:r>
      <w:r>
        <w:rPr>
          <w:color w:val="70AD47"/>
        </w:rPr>
        <w:t>disease</w:t>
      </w:r>
      <w:r>
        <w:t xml:space="preserve">, because they go with “cancer”. The direction of the </w:t>
      </w:r>
      <w:proofErr w:type="spellStart"/>
      <w:r>
        <w:t>discontiguousEntity</w:t>
      </w:r>
      <w:proofErr w:type="spellEnd"/>
      <w:r>
        <w:t xml:space="preserve"> relation should be: the secondary en</w:t>
      </w:r>
      <w:r>
        <w:t>tity pointing towards the main entity.</w:t>
      </w:r>
    </w:p>
    <w:p w14:paraId="4D3B2145" w14:textId="77777777" w:rsidR="00EE05BF" w:rsidRDefault="00F264CE">
      <w:pPr>
        <w:numPr>
          <w:ilvl w:val="0"/>
          <w:numId w:val="3"/>
        </w:numPr>
        <w:rPr>
          <w:b/>
        </w:rPr>
      </w:pPr>
      <w:r>
        <w:rPr>
          <w:b/>
        </w:rPr>
        <w:t>Adjectives included inside an entity</w:t>
      </w:r>
    </w:p>
    <w:p w14:paraId="70783000" w14:textId="77777777" w:rsidR="00EE05BF" w:rsidRDefault="00F264CE">
      <w:pPr>
        <w:ind w:left="720"/>
      </w:pPr>
      <w:r>
        <w:t>Annotate as a single entity, including the adjective</w:t>
      </w:r>
    </w:p>
    <w:p w14:paraId="4DD66B55" w14:textId="77777777" w:rsidR="00EE05BF" w:rsidRDefault="00F264CE">
      <w:pPr>
        <w:numPr>
          <w:ilvl w:val="0"/>
          <w:numId w:val="3"/>
        </w:numPr>
        <w:pBdr>
          <w:top w:val="nil"/>
          <w:left w:val="nil"/>
          <w:bottom w:val="nil"/>
          <w:right w:val="nil"/>
          <w:between w:val="nil"/>
        </w:pBdr>
        <w:spacing w:after="0"/>
        <w:rPr>
          <w:b/>
        </w:rPr>
      </w:pPr>
      <w:r>
        <w:rPr>
          <w:b/>
        </w:rPr>
        <w:t>“Anti-X antibody”, “X antibody positivity” (nested entities)</w:t>
      </w:r>
    </w:p>
    <w:p w14:paraId="35E0751F" w14:textId="77777777" w:rsidR="00EE05BF" w:rsidRDefault="00F264CE">
      <w:pPr>
        <w:spacing w:after="0"/>
        <w:ind w:left="720"/>
      </w:pPr>
      <w:r>
        <w:t>In the case of nested entities, all of them should be annotated, b</w:t>
      </w:r>
      <w:r>
        <w:t xml:space="preserve">ut not the relations between them. E.g. : antinuclear antibody (ANA)-positive =&gt; </w:t>
      </w:r>
      <w:r>
        <w:rPr>
          <w:color w:val="3366CC"/>
        </w:rPr>
        <w:t>antinuclear antibody</w:t>
      </w:r>
      <w:r>
        <w:t xml:space="preserve"> (ANA)-positive, </w:t>
      </w:r>
      <w:r>
        <w:rPr>
          <w:color w:val="BF8F00"/>
        </w:rPr>
        <w:t>antinuclear antibody (ANA)-positive</w:t>
      </w:r>
      <w:r>
        <w:t>. The relations between these entities will be automatically annotated later.</w:t>
      </w:r>
    </w:p>
    <w:p w14:paraId="7EF9E68C" w14:textId="77777777" w:rsidR="00EE05BF" w:rsidRDefault="00F264CE">
      <w:pPr>
        <w:numPr>
          <w:ilvl w:val="0"/>
          <w:numId w:val="3"/>
        </w:numPr>
        <w:spacing w:after="0"/>
      </w:pPr>
      <w:r>
        <w:rPr>
          <w:b/>
        </w:rPr>
        <w:t xml:space="preserve">Clinical sign written in </w:t>
      </w:r>
      <w:r>
        <w:rPr>
          <w:b/>
        </w:rPr>
        <w:t>short and/or composite form</w:t>
      </w:r>
    </w:p>
    <w:p w14:paraId="540E8337" w14:textId="77777777" w:rsidR="00EE05BF" w:rsidRDefault="00F264CE">
      <w:pPr>
        <w:spacing w:after="0"/>
        <w:ind w:left="720"/>
      </w:pPr>
      <w:r>
        <w:t xml:space="preserve">If several short forms are part of a composite short form, annotate each short form as </w:t>
      </w:r>
      <w:proofErr w:type="spellStart"/>
      <w:r>
        <w:rPr>
          <w:color w:val="BF8F00"/>
        </w:rPr>
        <w:t>Clinical_sign</w:t>
      </w:r>
      <w:proofErr w:type="spellEnd"/>
      <w:r>
        <w:t xml:space="preserve">. If possible, annotate the 1st occurrence of each form with </w:t>
      </w:r>
      <w:proofErr w:type="spellStart"/>
      <w:r>
        <w:t>isSynonymOf</w:t>
      </w:r>
      <w:proofErr w:type="spellEnd"/>
      <w:r>
        <w:t xml:space="preserve"> their longer form. The composite form should also be an</w:t>
      </w:r>
      <w:r>
        <w:t>notated as a clinical sign, and</w:t>
      </w:r>
      <w:r>
        <w:rPr>
          <w:b/>
        </w:rPr>
        <w:t xml:space="preserve"> </w:t>
      </w:r>
      <w:r>
        <w:t xml:space="preserve">if possible with </w:t>
      </w:r>
      <w:proofErr w:type="spellStart"/>
      <w:r>
        <w:t>isSynonymOf</w:t>
      </w:r>
      <w:proofErr w:type="spellEnd"/>
      <w:r>
        <w:t xml:space="preserve"> the longer composite form. For example, in one paper, “VT+/PM-” refers to “vascular thrombosis without pregnancy morbidity”. This leads to the following annotations:</w:t>
      </w:r>
    </w:p>
    <w:p w14:paraId="4BCCC6A5" w14:textId="77777777" w:rsidR="00EE05BF" w:rsidRDefault="00F264CE">
      <w:pPr>
        <w:numPr>
          <w:ilvl w:val="0"/>
          <w:numId w:val="1"/>
        </w:numPr>
        <w:spacing w:after="0"/>
      </w:pPr>
      <w:r>
        <w:t xml:space="preserve">“VT+” -&gt; </w:t>
      </w:r>
      <w:proofErr w:type="spellStart"/>
      <w:r>
        <w:rPr>
          <w:color w:val="BF8F00"/>
        </w:rPr>
        <w:t>Clinical_sign</w:t>
      </w:r>
      <w:proofErr w:type="spellEnd"/>
    </w:p>
    <w:p w14:paraId="09ED96D7" w14:textId="77777777" w:rsidR="00EE05BF" w:rsidRDefault="00F264CE">
      <w:pPr>
        <w:numPr>
          <w:ilvl w:val="0"/>
          <w:numId w:val="1"/>
        </w:numPr>
        <w:spacing w:after="0"/>
      </w:pPr>
      <w:r>
        <w:t xml:space="preserve">“PM-” </w:t>
      </w:r>
      <w:r>
        <w:t>-&gt;</w:t>
      </w:r>
      <w:r>
        <w:rPr>
          <w:color w:val="BF8F00"/>
        </w:rPr>
        <w:t xml:space="preserve"> </w:t>
      </w:r>
      <w:proofErr w:type="spellStart"/>
      <w:r>
        <w:rPr>
          <w:color w:val="BF8F00"/>
        </w:rPr>
        <w:t>Clinical_sign</w:t>
      </w:r>
      <w:proofErr w:type="spellEnd"/>
    </w:p>
    <w:p w14:paraId="7AC062FC" w14:textId="77777777" w:rsidR="00EE05BF" w:rsidRDefault="00F264CE">
      <w:pPr>
        <w:numPr>
          <w:ilvl w:val="0"/>
          <w:numId w:val="1"/>
        </w:numPr>
        <w:spacing w:after="0"/>
      </w:pPr>
      <w:r>
        <w:t>“VT+/PM-”</w:t>
      </w:r>
      <w:r>
        <w:rPr>
          <w:color w:val="BF8F00"/>
        </w:rPr>
        <w:t xml:space="preserve"> </w:t>
      </w:r>
      <w:r>
        <w:t>-&gt;</w:t>
      </w:r>
      <w:r>
        <w:rPr>
          <w:color w:val="BF8F00"/>
        </w:rPr>
        <w:t xml:space="preserve"> </w:t>
      </w:r>
      <w:proofErr w:type="spellStart"/>
      <w:r>
        <w:rPr>
          <w:color w:val="BF8F00"/>
        </w:rPr>
        <w:t>Clinical_sign</w:t>
      </w:r>
      <w:proofErr w:type="spellEnd"/>
    </w:p>
    <w:p w14:paraId="41A2562F" w14:textId="77777777" w:rsidR="00EE05BF" w:rsidRDefault="00F264CE">
      <w:pPr>
        <w:numPr>
          <w:ilvl w:val="0"/>
          <w:numId w:val="1"/>
        </w:numPr>
        <w:spacing w:after="0"/>
      </w:pPr>
      <w:r>
        <w:t>“</w:t>
      </w:r>
      <w:r>
        <w:rPr>
          <w:color w:val="BF8F00"/>
        </w:rPr>
        <w:t>VT+</w:t>
      </w:r>
      <w:r>
        <w:t>”</w:t>
      </w:r>
      <w:r>
        <w:rPr>
          <w:color w:val="BF8F00"/>
        </w:rPr>
        <w:t xml:space="preserve"> </w:t>
      </w:r>
      <w:proofErr w:type="spellStart"/>
      <w:r>
        <w:t>isSynonymOf</w:t>
      </w:r>
      <w:proofErr w:type="spellEnd"/>
      <w:r>
        <w:rPr>
          <w:color w:val="BF8F00"/>
        </w:rPr>
        <w:t xml:space="preserve"> </w:t>
      </w:r>
      <w:r>
        <w:t>“</w:t>
      </w:r>
      <w:r>
        <w:rPr>
          <w:color w:val="BF8F00"/>
        </w:rPr>
        <w:t>vascular thrombosis</w:t>
      </w:r>
      <w:r>
        <w:t>”</w:t>
      </w:r>
    </w:p>
    <w:p w14:paraId="0BD10DA3" w14:textId="77777777" w:rsidR="00EE05BF" w:rsidRDefault="00F264CE">
      <w:pPr>
        <w:numPr>
          <w:ilvl w:val="0"/>
          <w:numId w:val="1"/>
        </w:numPr>
        <w:spacing w:after="0"/>
      </w:pPr>
      <w:r>
        <w:t>“</w:t>
      </w:r>
      <w:r>
        <w:rPr>
          <w:color w:val="BF8F00"/>
        </w:rPr>
        <w:t>PM-</w:t>
      </w:r>
      <w:r>
        <w:t xml:space="preserve">” </w:t>
      </w:r>
      <w:proofErr w:type="spellStart"/>
      <w:r>
        <w:t>isSynonymOf</w:t>
      </w:r>
      <w:proofErr w:type="spellEnd"/>
      <w:r>
        <w:rPr>
          <w:color w:val="BF8F00"/>
        </w:rPr>
        <w:t xml:space="preserve"> </w:t>
      </w:r>
      <w:r>
        <w:t>“</w:t>
      </w:r>
      <w:r>
        <w:rPr>
          <w:color w:val="BF8F00"/>
        </w:rPr>
        <w:t>no</w:t>
      </w:r>
      <w:r>
        <w:t xml:space="preserve"> </w:t>
      </w:r>
      <w:r>
        <w:rPr>
          <w:color w:val="BF8F00"/>
        </w:rPr>
        <w:t>pregnancy morbidity</w:t>
      </w:r>
      <w:r>
        <w:t>”</w:t>
      </w:r>
    </w:p>
    <w:p w14:paraId="6E04E168" w14:textId="77777777" w:rsidR="00EE05BF" w:rsidRDefault="00F264CE">
      <w:pPr>
        <w:numPr>
          <w:ilvl w:val="0"/>
          <w:numId w:val="1"/>
        </w:numPr>
        <w:spacing w:after="0"/>
      </w:pPr>
      <w:r>
        <w:t>“</w:t>
      </w:r>
      <w:r>
        <w:rPr>
          <w:color w:val="BF8F00"/>
        </w:rPr>
        <w:t>VT+/PM-</w:t>
      </w:r>
      <w:r>
        <w:t>”</w:t>
      </w:r>
      <w:r>
        <w:rPr>
          <w:color w:val="BF8F00"/>
        </w:rPr>
        <w:t xml:space="preserve"> </w:t>
      </w:r>
      <w:proofErr w:type="spellStart"/>
      <w:r>
        <w:t>isSynonymOf</w:t>
      </w:r>
      <w:proofErr w:type="spellEnd"/>
      <w:r>
        <w:rPr>
          <w:color w:val="BF8F00"/>
        </w:rPr>
        <w:t xml:space="preserve"> </w:t>
      </w:r>
      <w:r>
        <w:t>“</w:t>
      </w:r>
      <w:r>
        <w:rPr>
          <w:color w:val="BF8F00"/>
        </w:rPr>
        <w:t>vascular thrombosis without pregnancy morbidity</w:t>
      </w:r>
      <w:r>
        <w:t>”</w:t>
      </w:r>
    </w:p>
    <w:p w14:paraId="4C483FA7" w14:textId="77777777" w:rsidR="00EE05BF" w:rsidRDefault="00F264CE">
      <w:pPr>
        <w:numPr>
          <w:ilvl w:val="0"/>
          <w:numId w:val="3"/>
        </w:numPr>
        <w:pBdr>
          <w:top w:val="nil"/>
          <w:left w:val="nil"/>
          <w:bottom w:val="nil"/>
          <w:right w:val="nil"/>
          <w:between w:val="nil"/>
        </w:pBdr>
        <w:spacing w:after="0"/>
        <w:rPr>
          <w:b/>
        </w:rPr>
      </w:pPr>
      <w:r>
        <w:rPr>
          <w:b/>
        </w:rPr>
        <w:t>Uncertain association</w:t>
      </w:r>
    </w:p>
    <w:p w14:paraId="0ABEC0AA" w14:textId="77777777" w:rsidR="00EE05BF" w:rsidRDefault="00F264CE">
      <w:pPr>
        <w:spacing w:after="0"/>
        <w:ind w:left="720"/>
      </w:pPr>
      <w:r>
        <w:lastRenderedPageBreak/>
        <w:t>When a link of any nature between 2 entities is suspected, it should only be annotated with “</w:t>
      </w:r>
      <w:proofErr w:type="spellStart"/>
      <w:r>
        <w:t>mayBeAssociatedWith</w:t>
      </w:r>
      <w:proofErr w:type="spellEnd"/>
      <w:r>
        <w:t>” if that suspected association is clearly described as uncertain. Otherwise, it should be annotated with “</w:t>
      </w:r>
      <w:proofErr w:type="spellStart"/>
      <w:r>
        <w:t>isAssociatedWith</w:t>
      </w:r>
      <w:proofErr w:type="spellEnd"/>
      <w:r>
        <w:t>”.</w:t>
      </w:r>
    </w:p>
    <w:p w14:paraId="52F1E8D0" w14:textId="77777777" w:rsidR="00EE05BF" w:rsidRDefault="00F264CE">
      <w:pPr>
        <w:numPr>
          <w:ilvl w:val="0"/>
          <w:numId w:val="3"/>
        </w:numPr>
        <w:spacing w:after="0"/>
        <w:rPr>
          <w:b/>
        </w:rPr>
      </w:pPr>
      <w:r>
        <w:rPr>
          <w:b/>
        </w:rPr>
        <w:t xml:space="preserve">Text partially or </w:t>
      </w:r>
      <w:r>
        <w:rPr>
          <w:b/>
        </w:rPr>
        <w:t>entirely in non-English language, or non-</w:t>
      </w:r>
      <w:proofErr w:type="spellStart"/>
      <w:r>
        <w:rPr>
          <w:b/>
        </w:rPr>
        <w:t>latin</w:t>
      </w:r>
      <w:proofErr w:type="spellEnd"/>
      <w:r>
        <w:rPr>
          <w:b/>
        </w:rPr>
        <w:t xml:space="preserve"> script</w:t>
      </w:r>
    </w:p>
    <w:p w14:paraId="257D501A" w14:textId="77777777" w:rsidR="00EE05BF" w:rsidRDefault="00F264CE">
      <w:pPr>
        <w:spacing w:after="0"/>
        <w:ind w:left="720"/>
      </w:pPr>
      <w:r>
        <w:t xml:space="preserve">Annotate only the English part. Ideally write down the reference of that text </w:t>
      </w:r>
      <w:proofErr w:type="spellStart"/>
      <w:r>
        <w:t>ro</w:t>
      </w:r>
      <w:proofErr w:type="spellEnd"/>
      <w:r>
        <w:t xml:space="preserve"> report it.</w:t>
      </w:r>
    </w:p>
    <w:p w14:paraId="5376B56F" w14:textId="77777777" w:rsidR="00EE05BF" w:rsidRDefault="00F264CE">
      <w:pPr>
        <w:numPr>
          <w:ilvl w:val="0"/>
          <w:numId w:val="3"/>
        </w:numPr>
        <w:spacing w:after="0"/>
        <w:rPr>
          <w:b/>
        </w:rPr>
      </w:pPr>
      <w:r>
        <w:rPr>
          <w:b/>
        </w:rPr>
        <w:t>Text unrelated to the topic of autoantibodies</w:t>
      </w:r>
    </w:p>
    <w:p w14:paraId="0C1B41D0" w14:textId="77777777" w:rsidR="00EE05BF" w:rsidRDefault="00F264CE">
      <w:pPr>
        <w:spacing w:after="0"/>
        <w:ind w:left="720"/>
      </w:pPr>
      <w:r>
        <w:t>Skip it and do not annotate. Ideally write down the reference of</w:t>
      </w:r>
      <w:r>
        <w:t xml:space="preserve"> that text to report it.</w:t>
      </w:r>
    </w:p>
    <w:p w14:paraId="0CB87DEA" w14:textId="77777777" w:rsidR="00EE05BF" w:rsidRDefault="00F264CE">
      <w:pPr>
        <w:numPr>
          <w:ilvl w:val="0"/>
          <w:numId w:val="3"/>
        </w:numPr>
        <w:pBdr>
          <w:top w:val="nil"/>
          <w:left w:val="nil"/>
          <w:bottom w:val="nil"/>
          <w:right w:val="nil"/>
          <w:between w:val="nil"/>
        </w:pBdr>
        <w:spacing w:after="0"/>
        <w:rPr>
          <w:b/>
        </w:rPr>
      </w:pPr>
      <w:r>
        <w:rPr>
          <w:sz w:val="14"/>
          <w:szCs w:val="14"/>
        </w:rPr>
        <w:t xml:space="preserve"> </w:t>
      </w:r>
      <w:r>
        <w:rPr>
          <w:b/>
        </w:rPr>
        <w:t>Biological tests / exams</w:t>
      </w:r>
    </w:p>
    <w:p w14:paraId="1CC33A13" w14:textId="77777777" w:rsidR="00EE05BF" w:rsidRDefault="00F264CE">
      <w:pPr>
        <w:pBdr>
          <w:top w:val="nil"/>
          <w:left w:val="nil"/>
          <w:bottom w:val="nil"/>
          <w:right w:val="nil"/>
          <w:between w:val="nil"/>
        </w:pBdr>
        <w:spacing w:after="0"/>
        <w:ind w:left="720"/>
      </w:pPr>
      <w:r>
        <w:t>Test results (positive, or negative) should be annotated as “</w:t>
      </w:r>
      <w:proofErr w:type="spellStart"/>
      <w:r>
        <w:rPr>
          <w:color w:val="BF8F00"/>
        </w:rPr>
        <w:t>Clinical_sign</w:t>
      </w:r>
      <w:proofErr w:type="spellEnd"/>
      <w:r>
        <w:t>”. If a test is mentioned without a result, it should not be annotated.</w:t>
      </w:r>
    </w:p>
    <w:p w14:paraId="0897A9FF" w14:textId="77777777" w:rsidR="00EE05BF" w:rsidRDefault="00EE05BF">
      <w:pPr>
        <w:pBdr>
          <w:top w:val="nil"/>
          <w:left w:val="nil"/>
          <w:bottom w:val="nil"/>
          <w:right w:val="nil"/>
          <w:between w:val="nil"/>
        </w:pBdr>
        <w:spacing w:after="0"/>
      </w:pPr>
    </w:p>
    <w:p w14:paraId="3D614CDD" w14:textId="77777777" w:rsidR="00EE05BF" w:rsidRDefault="00EE05BF">
      <w:pPr>
        <w:pBdr>
          <w:top w:val="nil"/>
          <w:left w:val="nil"/>
          <w:bottom w:val="nil"/>
          <w:right w:val="nil"/>
          <w:between w:val="nil"/>
        </w:pBdr>
        <w:spacing w:after="0"/>
      </w:pPr>
    </w:p>
    <w:p w14:paraId="58CEA116" w14:textId="77777777" w:rsidR="00EE05BF" w:rsidRDefault="00EE05BF">
      <w:pPr>
        <w:pBdr>
          <w:top w:val="nil"/>
          <w:left w:val="nil"/>
          <w:bottom w:val="nil"/>
          <w:right w:val="nil"/>
          <w:between w:val="nil"/>
        </w:pBdr>
        <w:spacing w:after="0"/>
        <w:ind w:left="720"/>
      </w:pPr>
    </w:p>
    <w:p w14:paraId="0A06AAED" w14:textId="77777777" w:rsidR="00EE05BF" w:rsidRDefault="00EE05BF">
      <w:pPr>
        <w:pBdr>
          <w:top w:val="nil"/>
          <w:left w:val="nil"/>
          <w:bottom w:val="nil"/>
          <w:right w:val="nil"/>
          <w:between w:val="nil"/>
        </w:pBdr>
        <w:spacing w:after="0"/>
        <w:rPr>
          <w:shd w:val="clear" w:color="auto" w:fill="1E1E1E"/>
        </w:rPr>
      </w:pPr>
    </w:p>
    <w:sectPr w:rsidR="00EE05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90745"/>
    <w:multiLevelType w:val="multilevel"/>
    <w:tmpl w:val="170466EA"/>
    <w:lvl w:ilvl="0">
      <w:start w:val="1"/>
      <w:numFmt w:val="decimal"/>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1" w15:restartNumberingAfterBreak="0">
    <w:nsid w:val="402916FF"/>
    <w:multiLevelType w:val="multilevel"/>
    <w:tmpl w:val="D6A86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D61ED0"/>
    <w:multiLevelType w:val="multilevel"/>
    <w:tmpl w:val="7EDE8122"/>
    <w:lvl w:ilvl="0">
      <w:start w:val="1"/>
      <w:numFmt w:val="bullet"/>
      <w:lvlText w:val="●"/>
      <w:lvlJc w:val="left"/>
      <w:pPr>
        <w:ind w:left="2160" w:hanging="360"/>
      </w:pPr>
      <w:rPr>
        <w:color w:val="00000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78CE597E"/>
    <w:multiLevelType w:val="multilevel"/>
    <w:tmpl w:val="D9BA74E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5BF"/>
    <w:rsid w:val="00EE05BF"/>
    <w:rsid w:val="00F264CE"/>
    <w:rsid w:val="00F51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CD73"/>
  <w15:docId w15:val="{42E9369F-D836-46A2-85E4-11E643A1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43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B43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A54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7C5CA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1Car">
    <w:name w:val="Titre 1 Car"/>
    <w:basedOn w:val="Policepardfaut"/>
    <w:link w:val="Titre1"/>
    <w:uiPriority w:val="9"/>
    <w:rsid w:val="003B432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3B432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88490B"/>
    <w:pPr>
      <w:ind w:left="720"/>
      <w:contextualSpacing/>
    </w:pPr>
  </w:style>
  <w:style w:type="table" w:styleId="Grilledutableau">
    <w:name w:val="Table Grid"/>
    <w:basedOn w:val="TableauNormal"/>
    <w:uiPriority w:val="39"/>
    <w:rsid w:val="00884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semiHidden/>
    <w:unhideWhenUsed/>
    <w:rsid w:val="001F2A36"/>
    <w:rPr>
      <w:color w:val="0000FF"/>
      <w:u w:val="single"/>
    </w:rPr>
  </w:style>
  <w:style w:type="paragraph" w:styleId="NormalWeb">
    <w:name w:val="Normal (Web)"/>
    <w:basedOn w:val="Normal"/>
    <w:uiPriority w:val="99"/>
    <w:semiHidden/>
    <w:unhideWhenUsed/>
    <w:rsid w:val="00D26B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3Car">
    <w:name w:val="Titre 3 Car"/>
    <w:basedOn w:val="Policepardfaut"/>
    <w:link w:val="Titre3"/>
    <w:uiPriority w:val="9"/>
    <w:rsid w:val="005A54AE"/>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7C5CAE"/>
    <w:rPr>
      <w:rFonts w:asciiTheme="majorHAnsi" w:eastAsiaTheme="majorEastAsia" w:hAnsiTheme="majorHAnsi" w:cstheme="majorBidi"/>
      <w:i/>
      <w:iCs/>
      <w:color w:val="2F5496" w:themeColor="accent1" w:themeShade="BF"/>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n.wikipedia.org/wiki/Hypersensitivity" TargetMode="External"/><Relationship Id="rId18" Type="http://schemas.openxmlformats.org/officeDocument/2006/relationships/hyperlink" Target="https://en.wikipedia.org/wiki/Immune_system" TargetMode="External"/><Relationship Id="rId26" Type="http://schemas.openxmlformats.org/officeDocument/2006/relationships/hyperlink" Target="https://browser.ihtsdotools.org/?perspective=full&amp;conceptId1=404684003&amp;edition=MAIN/SNOMEDCT-US/2024-09-01&amp;release=&amp;languages=en" TargetMode="External"/><Relationship Id="rId39" Type="http://schemas.openxmlformats.org/officeDocument/2006/relationships/theme" Target="theme/theme1.xml"/><Relationship Id="rId21" Type="http://schemas.openxmlformats.org/officeDocument/2006/relationships/hyperlink" Target="https://en.wikipedia.org/wiki/Signs_and_symptoms" TargetMode="External"/><Relationship Id="rId34" Type="http://schemas.openxmlformats.org/officeDocument/2006/relationships/hyperlink" Target="https://www.orpha.net/" TargetMode="External"/><Relationship Id="rId7" Type="http://schemas.openxmlformats.org/officeDocument/2006/relationships/hyperlink" Target="https://en.wikipedia.org/wiki/Function_(biology)" TargetMode="External"/><Relationship Id="rId12" Type="http://schemas.openxmlformats.org/officeDocument/2006/relationships/hyperlink" Target="https://en.wikipedia.org/wiki/Immunodeficiency" TargetMode="External"/><Relationship Id="rId17" Type="http://schemas.openxmlformats.org/officeDocument/2006/relationships/hyperlink" Target="https://en.wikipedia.org/wiki/Protein" TargetMode="External"/><Relationship Id="rId25" Type="http://schemas.openxmlformats.org/officeDocument/2006/relationships/image" Target="media/image1.png"/><Relationship Id="rId33" Type="http://schemas.openxmlformats.org/officeDocument/2006/relationships/hyperlink" Target="https://browser.ihtsdotools.org/?perspective=full&amp;conceptId1=404684003&amp;edition=MAIN/SNOMEDCT-US/2024-09-01&amp;release=&amp;languages=e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Antibody" TargetMode="External"/><Relationship Id="rId20" Type="http://schemas.openxmlformats.org/officeDocument/2006/relationships/hyperlink" Target="https://en.wikipedia.org/wiki/Disease" TargetMode="External"/><Relationship Id="rId29" Type="http://schemas.openxmlformats.org/officeDocument/2006/relationships/hyperlink" Target="https://browser.ihtsdotools.org/?perspective=full&amp;conceptId1=404684003&amp;edition=MAIN/SNOMEDCT-US/2024-09-01&amp;release=&amp;languages=en" TargetMode="External"/><Relationship Id="rId1" Type="http://schemas.openxmlformats.org/officeDocument/2006/relationships/customXml" Target="../customXml/item1.xml"/><Relationship Id="rId6" Type="http://schemas.openxmlformats.org/officeDocument/2006/relationships/hyperlink" Target="https://en.wikipedia.org/wiki/Structure" TargetMode="External"/><Relationship Id="rId11" Type="http://schemas.openxmlformats.org/officeDocument/2006/relationships/hyperlink" Target="https://en.wikipedia.org/wiki/Immune_system" TargetMode="External"/><Relationship Id="rId24" Type="http://schemas.openxmlformats.org/officeDocument/2006/relationships/hyperlink" Target="https://en.wikipedia.org/wiki/Signs_and_symptoms" TargetMode="External"/><Relationship Id="rId32" Type="http://schemas.openxmlformats.org/officeDocument/2006/relationships/hyperlink" Target="https://browser.ihtsdotools.org/?perspective=full&amp;conceptId1=404684003&amp;edition=MAIN/SNOMEDCT-US/2024-09-01&amp;release=&amp;languages=en" TargetMode="External"/><Relationship Id="rId37" Type="http://schemas.openxmlformats.org/officeDocument/2006/relationships/hyperlink" Target="https://www.orpha.net/" TargetMode="External"/><Relationship Id="rId5" Type="http://schemas.openxmlformats.org/officeDocument/2006/relationships/webSettings" Target="webSettings.xml"/><Relationship Id="rId15" Type="http://schemas.openxmlformats.org/officeDocument/2006/relationships/hyperlink" Target="https://en.wikipedia.org/wiki/Autoimmune_disorders" TargetMode="External"/><Relationship Id="rId23" Type="http://schemas.openxmlformats.org/officeDocument/2006/relationships/hyperlink" Target="https://en.wikipedia.org/wiki/Signs_and_symptoms" TargetMode="External"/><Relationship Id="rId28" Type="http://schemas.openxmlformats.org/officeDocument/2006/relationships/hyperlink" Target="https://www.orpha.net/" TargetMode="External"/><Relationship Id="rId36" Type="http://schemas.openxmlformats.org/officeDocument/2006/relationships/hyperlink" Target="https://browser.ihtsdotools.org/?perspective=full&amp;conceptId1=404684003&amp;edition=MAIN/SNOMEDCT-US/2024-09-01&amp;release=&amp;languages=en" TargetMode="External"/><Relationship Id="rId10" Type="http://schemas.openxmlformats.org/officeDocument/2006/relationships/hyperlink" Target="https://en.wikipedia.org/wiki/Pathogen" TargetMode="External"/><Relationship Id="rId19" Type="http://schemas.openxmlformats.org/officeDocument/2006/relationships/hyperlink" Target="https://makaao.inria.fr" TargetMode="External"/><Relationship Id="rId31" Type="http://schemas.openxmlformats.org/officeDocument/2006/relationships/hyperlink" Target="https://www.orpha.net/" TargetMode="External"/><Relationship Id="rId4" Type="http://schemas.openxmlformats.org/officeDocument/2006/relationships/settings" Target="settings.xml"/><Relationship Id="rId9" Type="http://schemas.openxmlformats.org/officeDocument/2006/relationships/hyperlink" Target="https://en.wikipedia.org/wiki/Signs_and_symptoms" TargetMode="External"/><Relationship Id="rId14" Type="http://schemas.openxmlformats.org/officeDocument/2006/relationships/hyperlink" Target="https://en.wikipedia.org/wiki/Allergy" TargetMode="External"/><Relationship Id="rId22" Type="http://schemas.openxmlformats.org/officeDocument/2006/relationships/hyperlink" Target="https://en.wikipedia.org/wiki/Medical_imaging" TargetMode="External"/><Relationship Id="rId27" Type="http://schemas.openxmlformats.org/officeDocument/2006/relationships/hyperlink" Target="https://browser.ihtsdotools.org/?perspective=full&amp;conceptId1=404684003&amp;edition=MAIN/SNOMEDCT-US/2024-09-01&amp;release=&amp;languages=en" TargetMode="External"/><Relationship Id="rId30" Type="http://schemas.openxmlformats.org/officeDocument/2006/relationships/hyperlink" Target="https://browser.ihtsdotools.org/?perspective=full&amp;conceptId1=404684003&amp;edition=MAIN/SNOMEDCT-US/2024-09-01&amp;release=&amp;languages=en" TargetMode="External"/><Relationship Id="rId35" Type="http://schemas.openxmlformats.org/officeDocument/2006/relationships/hyperlink" Target="https://browser.ihtsdotools.org/?perspective=full&amp;conceptId1=404684003&amp;edition=MAIN/SNOMEDCT-US/2024-09-01&amp;release=&amp;languages=en" TargetMode="External"/><Relationship Id="rId8" Type="http://schemas.openxmlformats.org/officeDocument/2006/relationships/hyperlink" Target="https://en.wikipedia.org/wiki/Injur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BD084ZSjI7MNGS7pCLykYM1pg==">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2550</Words>
  <Characters>14541</Characters>
  <Application>Microsoft Office Word</Application>
  <DocSecurity>0</DocSecurity>
  <Lines>121</Lines>
  <Paragraphs>34</Paragraphs>
  <ScaleCrop>false</ScaleCrop>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Fabien MAURY</dc:creator>
  <cp:lastModifiedBy>Fabien MAURY</cp:lastModifiedBy>
  <cp:revision>2</cp:revision>
  <dcterms:created xsi:type="dcterms:W3CDTF">2026-04-17T14:34:00Z</dcterms:created>
  <dcterms:modified xsi:type="dcterms:W3CDTF">2026-04-17T14:34:00Z</dcterms:modified>
</cp:coreProperties>
</file>