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DFKai-SB" w:hAnsi="DFKai-SB" w:cs="DFKai-SB" w:eastAsia="DFKai-SB"/>
          <w:b/>
          <w:sz w:val="36"/>
          <w:szCs w:val="36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壹、基本資料與能力描述</w:t>
      </w:r>
    </w:p>
    <w:p>
      <w:pPr>
        <w:pStyle w:val="Normal"/>
        <w:tabs>
          <w:tab w:pos="10466" w:val="right"/>
        </w:tabs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rFonts w:ascii="DFKai-SB" w:hAnsi="DFKai-SB" w:eastAsia="DFKai-SB" w:cs="DFKai-SB"/>
          <w:b/>
          <w:sz w:val="28"/>
          <w:szCs w:val="28"/>
        </w:rPr>
        <w:t>一、學生基本資料</w:t>
      </w:r>
      <w:r>
        <w:tab/>
      </w:r>
      <w:r>
        <w:rPr>
          <w:rFonts w:ascii="DFKai-SB" w:hAnsi="DFKai-SB" w:eastAsia="DFKai-SB" w:cs="DFKai-SB"/>
          <w:b/>
          <w:sz w:val="24"/>
          <w:szCs w:val="24"/>
        </w:rPr>
        <w:t>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1"/>
                <w:szCs w:val="21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2"/>
                <w:szCs w:val="22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DFKai-SB" w:hAnsi="DFKai-SB" w:cs="DFKai-SB" w:eastAsia="DFKai-SB"/>
                <w:color w:val="808080"/>
                <w:sz w:val="24"/>
                <w:szCs w:val="24"/>
              </w:rPr>
            </w:r>
            <w:r>
              <w:rPr>
                <w:rFonts w:ascii="DFKai-SB" w:hAnsi="DFKai-SB" w:eastAsia="DFKai-SB" w:cs="DFKai-SB"/>
                <w:sz w:val="24"/>
                <w:szCs w:val="24"/>
              </w:rPr>
              <w:t>{leaveDateText}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1"/>
                <w:szCs w:val="21"/>
              </w:rPr>
            </w:r>
            <w:r>
              <w:rPr>
                <w:rFonts w:ascii="DFKai-SB" w:hAnsi="DFKai-SB" w:eastAsia="DFKai-SB" w:cs="DFKai-SB"/>
                <w:sz w:val="21"/>
                <w:szCs w:val="21"/>
              </w:rPr>
              <w:t>{height} 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1"/>
                <w:szCs w:val="21"/>
              </w:rPr>
            </w:r>
            <w:r>
              <w:rPr>
                <w:rFonts w:ascii="DFKai-SB" w:hAnsi="DFKai-SB" w:eastAsia="DFKai-SB" w:cs="DFKai-SB"/>
                <w:sz w:val="21"/>
                <w:szCs w:val="21"/>
              </w:rPr>
              <w:t>{weight} 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rPr>
          <w:rFonts w:ascii="DFKai-SB" w:hAnsi="DFKai-SB" w:eastAsia="DFKai-SB" w:cs="DFKai-SB"/>
          <w:sz w:val="24"/>
          <w:szCs w:val="24"/>
        </w:rPr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特殊才能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學校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親 屬</w:t>
            </w:r>
          </w:p>
          <w:p>
            <w:pPr>
              <w:pStyle w:val="Normal"/>
              <w:spacing w:before="0" w:after="0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（一）身體特殊症狀：{physicalSymptomsPresenceChecks}</w:t>
      </w:r>
    </w:p>
    <w:p>
      <w:pPr>
        <w:pStyle w:val="Normal"/>
        <w:ind w:left="0" w:firstLine="0"/>
        <w:rPr/>
      </w:pPr>
      <w:r>
        <w:rPr>
          <w:rFonts w:ascii="DFKai-SB" w:hAnsi="DFKai-SB" w:cs="DFKai-SB" w:eastAsia="DFKai-SB"/>
          <w:sz w:val="24"/>
          <w:szCs w:val="24"/>
        </w:rPr>
        <w:t>{physicalSymptomsLine1}</w:t>
      </w:r>
    </w:p>
    <w:p>
      <w:pPr>
        <w:pStyle w:val="Normal"/>
        <w:ind w:right="0" w:left="0" w:firstLine="0"/>
        <w:rPr/>
      </w:pPr>
      <w:r>
        <w:rPr>
          <w:rFonts w:eastAsia="DFKai-SB" w:cs="DFKai-SB" w:ascii="DFKai-SB" w:hAnsi="DFKai-SB"/>
          <w:sz w:val="24"/>
          <w:szCs w:val="24"/>
        </w:rPr>
        <w:t>{physicalSymptomsLine2}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{physicalSymptomsLine3}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{physicalSymptomsLine4}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{physicalSymptomsLine5}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（二）服用藥物：{medicationUseChecks}</w:t>
      </w:r>
    </w:p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{medPurpose1}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{medStart1}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{medSideEffect1}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{medNextChange1}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{medPurpose2}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{medStart2}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{medSideEffect2}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{medNextChange2}</w:t>
            </w:r>
          </w:p>
        </w:tc>
      </w:tr>
    </w:tbl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  <w:t>（三）其他特殊生理健康描述：{otherHealthBlock}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  <w:r>
        <w:rPr>
          <w:rFonts w:ascii="DFKai-SB" w:hAnsi="DFKai-SB" w:eastAsia="DFKai-SB" w:cs="DFKai-SB"/>
          <w:sz w:val="24"/>
          <w:szCs w:val="24"/>
        </w:rPr>
        <w:br w:type="page"/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貳、現況能力摘要與特殊教育需求服務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一、現況能力摘要</w:t>
      </w:r>
      <w:r>
        <w:rPr>
          <w:rFonts w:eastAsia="DFKai-SB" w:cs="DFKai-SB" w:ascii="DFKai-SB" w:hAnsi="DFKai-SB"/>
          <w:b/>
          <w:sz w:val="28"/>
          <w:szCs w:val="28"/>
        </w:rPr>
        <w:t>(</w:t>
      </w:r>
      <w:r>
        <w:rPr>
          <w:rFonts w:ascii="DFKai-SB" w:hAnsi="DFKai-SB" w:cs="DFKai-SB" w:eastAsia="DFKai-SB"/>
          <w:b/>
          <w:sz w:val="28"/>
          <w:szCs w:val="28"/>
        </w:rPr>
        <w:t>輔導員填寫</w:t>
      </w:r>
      <w:r>
        <w:rPr>
          <w:rFonts w:eastAsia="DFKai-SB" w:cs="DFKai-SB" w:ascii="DFKai-SB" w:hAnsi="DFKai-SB"/>
          <w:b/>
          <w:sz w:val="28"/>
          <w:szCs w:val="28"/>
        </w:rPr>
        <w:t>)</w:t>
      </w:r>
    </w:p>
    <w:tbl>
      <w:tblPr>
        <w:tblW w:w="10774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學生期初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評估與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hd w:fill="D9D9D9" w:val="clear"/>
                <w:szCs w:val="24"/>
              </w:rPr>
              <w:t>內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學生能力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{abilityHealth}</w:t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感官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{abilitySensory}</w:t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{abilityMotor}</w:t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認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{abilityCognitive}</w:t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{abilityCommunication}</w:t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{abilityAcademic}</w:t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{abilitySelfCare}</w:t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會化及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行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{abilitySocialEmotional}</w:t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綜合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評估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生優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弱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(1)建立人際關係能力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{strengthLine1}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(2)情緒控制能力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{strengthLine2}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(3)個人疾病認識能力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{strengthLine3}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(4)解決問題及處理狀況能力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{strengthLine4}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(5)尋求資源能力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{strengthLine5}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(6)支持系統資源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{strengthLine6}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(7)家人的互動與關懷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{strengthLine7}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(8)家庭經濟狀況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{strengthLine8}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 w:before="0" w:after="0"/>
              <w:ind w:left="0" w:right="0" w:firstLine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{analysisBlock}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{studentNeedsAssessment}</w:t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特教支持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服務及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{learningSupportBlock}</w:t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{emotionalSupportBlock}</w:t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{environmentSupportBlock}</w:t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學業規劃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{academicPlanningSupportBlock}</w:t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right="0" w:lef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{careerSupportBlock}</w:t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{adminSupportBlock}</w:t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支持服務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{supportAdjustmentBlock}</w:t>
            </w:r>
          </w:p>
        </w:tc>
      </w:tr>
    </w:tbl>
    <w:p>
      <w:pPr>
        <w:pStyle w:val="Normal"/>
        <w:keepNext/>
        <w:pageBreakBefore/>
        <w:spacing w:before="0" w:after="0"/>
        <w:ind w:left="0" w:right="0" w:firstLine="0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DFKai-SB" w:hAnsi="DFKai-SB" w:cs="DFKai-SB" w:eastAsia="DFKai-SB"/>
          <w:b/>
          <w:sz w:val="28"/>
          <w:szCs w:val="28"/>
        </w:rPr>
        <w:t>二、身心障礙相關補助與服務</w:t>
      </w:r>
      <w:r>
        <w:rPr>
          <w:rFonts w:eastAsia="DFKai-SB" w:cs="DFKai-SB" w:ascii="DFKai-SB" w:hAnsi="DFKai-SB"/>
          <w:b/>
          <w:sz w:val="28"/>
          <w:szCs w:val="28"/>
        </w:rPr>
        <w:t>(</w:t>
      </w:r>
      <w:r>
        <w:rPr>
          <w:rFonts w:ascii="DFKai-SB" w:hAnsi="DFKai-SB" w:cs="DFKai-SB" w:eastAsia="DFKai-SB"/>
          <w:b/>
          <w:sz w:val="28"/>
          <w:szCs w:val="28"/>
        </w:rPr>
        <w:t>輔導員填寫</w:t>
      </w:r>
      <w:r>
        <w:rPr>
          <w:rFonts w:eastAsia="DFKai-SB" w:cs="DFKai-SB" w:ascii="DFKai-SB" w:hAnsi="DFKai-SB"/>
          <w:b/>
          <w:sz w:val="28"/>
          <w:szCs w:val="28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64"/>
        <w:gridCol w:w="7902"/>
      </w:tblGrid>
      <w:tr>
        <w:trPr>
          <w:trHeight w:val="375" w:hRule="atLeast"/>
          <w:cantSplit/>
        </w:trPr>
        <w:tc>
          <w:tcPr>
            <w:tcW w:w="2564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服務紀錄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專業及相關服務現況</w:t>
            </w:r>
          </w:p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(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{relatedServicesBlock}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其它</w:t>
            </w: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1"/>
              </w:numPr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{otherServiceSuggestionsBlock}</w:t>
            </w:r>
          </w:p>
        </w:tc>
      </w:tr>
      <w:tr>
        <w:trPr>
          <w:trHeight w:val="1426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  <w:t>{serviceEvaluationSummary}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2"/>
        </w:rPr>
      </w:pPr>
      <w:r>
        <w:rPr>
          <w:rFonts w:ascii="DFKai-SB" w:hAnsi="DFKai-SB" w:cs="DFKai-SB" w:eastAsia="DFKai-SB"/>
          <w:b/>
          <w:color w:val="7F7F7F"/>
          <w:sz w:val="24"/>
          <w:szCs w:val="24"/>
        </w:rPr>
        <w:t>＊上述各項內容，</w:t>
      </w:r>
      <w:r>
        <w:rPr>
          <w:rFonts w:ascii="DFKai-SB" w:hAnsi="DFKai-SB" w:cs="DFKai-SB" w:eastAsia="DFKai-SB"/>
          <w:b/>
          <w:sz w:val="24"/>
          <w:szCs w:val="24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  <w:p/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  <w:p/>
        </w:tc>
      </w:tr>
    </w:tbl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FKai-SB" w:hAnsi="DFKai-SB" w:eastAsia="DFKai-SB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