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壹、基本資料與能力描述</w:t>
      </w:r>
    </w:p>
    <w:p>
      <w:pPr>
        <w:pStyle w:val="Normal"/>
        <w:tabs>
          <w:tab w:pos="10466" w:val="right"/>
        </w:tabs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8"/>
          <w:szCs w:val="28"/>
        </w:rPr>
        <w:t>一、學生基本資料</w:t>
      </w:r>
      <w:r>
        <w:tab/>
      </w:r>
      <w:r>
        <w:rPr>
          <w:rFonts w:ascii="DFKai-SB" w:hAnsi="DFKai-SB" w:eastAsia="DFKai-SB" w:cs="DFKai-SB"/>
          <w:b/>
          <w:sz w:val="24"/>
          <w:szCs w:val="24"/>
        </w:rPr>
        <w:t>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</w:r>
            <w:r>
              <w:rPr>
                <w:rFonts w:ascii="DFKai-SB" w:hAnsi="DFKai-SB" w:eastAsia="DFKai-SB" w:cs="DFKai-SB"/>
                <w:sz w:val="24"/>
                <w:szCs w:val="24"/>
              </w:rPr>
              <w:t>{leaveDateText}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{height} 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{weight} 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一、現況能力摘要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  <w:jc w:val="both"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8"/>
          <w:szCs w:val="28"/>
        </w:rPr>
        <w:t>二、身心障礙相關補助與服務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  <w:p/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  <w:p/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