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DFKai-SB" w:hAnsi="DFKai-SB" w:cs="DFKai-SB" w:eastAsia="DFKai-SB"/>
          <w:b/>
          <w:sz w:val="24"/>
          <w:szCs w:val="24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rFonts w:ascii="DFKai-SB" w:hAnsi="DFKai-SB" w:eastAsia="DFKai-SB" w:cs="DFKai-SB"/>
          <w:b/>
          <w:sz w:val="24"/>
          <w:szCs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1"/>
                <w:szCs w:val="21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2"/>
                <w:szCs w:val="22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DFKai-SB" w:hAnsi="DFKai-SB" w:cs="DFKai-SB" w:eastAsia="DFKai-SB"/>
                <w:color w:val="808080"/>
                <w:sz w:val="24"/>
                <w:szCs w:val="24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{height} 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{weight} 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rPr>
          <w:rFonts w:ascii="DFKai-SB" w:hAnsi="DFKai-SB" w:eastAsia="DFKai-SB" w:cs="DFKai-SB"/>
          <w:sz w:val="24"/>
          <w:szCs w:val="24"/>
        </w:rPr>
        <w:br w:type="page"/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特殊才能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學校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DFKai-SB" w:hAnsi="DFKai-SB" w:cs="DFKai-SB" w:eastAsia="DFKai-SB"/>
                <w:w w:val="80"/>
                <w:sz w:val="24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w w:val="80"/>
                <w:sz w:val="24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w w:val="80"/>
                <w:sz w:val="24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DFKai-SB" w:hAnsi="DFKai-SB" w:cs="DFKai-SB" w:eastAsia="DFKai-SB"/>
          <w:sz w:val="24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DFKai-SB" w:cs="DFKai-SB" w:ascii="DFKai-SB" w:hAnsi="DFKai-SB"/>
          <w:sz w:val="24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  <w:r>
        <w:rPr>
          <w:rFonts w:ascii="DFKai-SB" w:hAnsi="DFKai-SB" w:eastAsia="DFKai-SB" w:cs="DFKai-SB"/>
          <w:sz w:val="24"/>
          <w:szCs w:val="24"/>
        </w:rP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一、現況能力摘要</w:t>
      </w:r>
      <w:r>
        <w:rPr>
          <w:rFonts w:eastAsia="DFKai-SB" w:cs="DFKai-SB" w:ascii="DFKai-SB" w:hAnsi="DFKai-SB"/>
          <w:b/>
          <w:sz w:val="24"/>
          <w:szCs w:val="24"/>
        </w:rPr>
        <w:t>(</w:t>
      </w:r>
      <w:r>
        <w:rPr>
          <w:rFonts w:ascii="DFKai-SB" w:hAnsi="DFKai-SB" w:cs="DFKai-SB" w:eastAsia="DFKai-SB"/>
          <w:b/>
          <w:sz w:val="24"/>
          <w:szCs w:val="24"/>
        </w:rPr>
        <w:t>輔導員填寫</w:t>
      </w:r>
      <w:r>
        <w:rPr>
          <w:rFonts w:eastAsia="DFKai-SB" w:cs="DFKai-SB" w:ascii="DFKai-SB" w:hAnsi="DFKai-SB"/>
          <w:b/>
          <w:sz w:val="24"/>
          <w:szCs w:val="24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學生期初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評估與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hd w:fill="D9D9D9" w:val="clear"/>
                <w:szCs w:val="24"/>
              </w:rPr>
              <w:t>內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學生能力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感官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認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會化及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行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綜合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評估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生優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弱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(1)建立人際關係能力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{strengthLine1}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(2)情緒控制能力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{strengthLine2}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(3)個人疾病認識能力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{strengthLine3}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(4)解決問題及處理狀況能力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{strengthLine4}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(5)尋求資源能力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{strengthLine5}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(6)支持系統資源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{strengthLine6}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(7)家人的互動與關懷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{strengthLine7}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(8)家庭經濟狀況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{strengthLine8}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特教支持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服務及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學業規劃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right="0" w:lef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支持服務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{supportAdjustmentBlock}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keepNext/>
        <w:pageBreakBefore/>
        <w:spacing w:before="0" w:after="0"/>
        <w:ind w:left="0" w:righ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DFKai-SB" w:hAnsi="DFKai-SB" w:cs="DFKai-SB" w:eastAsia="DFKai-SB"/>
          <w:b/>
          <w:sz w:val="24"/>
          <w:szCs w:val="24"/>
        </w:rPr>
        <w:t>二、身心障礙相關補助與服務</w:t>
      </w:r>
      <w:r>
        <w:rPr>
          <w:rFonts w:eastAsia="DFKai-SB" w:cs="DFKai-SB" w:ascii="DFKai-SB" w:hAnsi="DFKai-SB"/>
          <w:b/>
          <w:sz w:val="24"/>
          <w:szCs w:val="24"/>
        </w:rPr>
        <w:t>(</w:t>
      </w:r>
      <w:r>
        <w:rPr>
          <w:rFonts w:ascii="DFKai-SB" w:hAnsi="DFKai-SB" w:cs="DFKai-SB" w:eastAsia="DFKai-SB"/>
          <w:b/>
          <w:sz w:val="24"/>
          <w:szCs w:val="24"/>
        </w:rPr>
        <w:t>輔導員填寫</w:t>
      </w:r>
      <w:r>
        <w:rPr>
          <w:rFonts w:eastAsia="DFKai-SB" w:cs="DFKai-SB" w:ascii="DFKai-SB" w:hAnsi="DFKai-SB"/>
          <w:b/>
          <w:sz w:val="24"/>
          <w:szCs w:val="24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64"/>
        <w:gridCol w:w="7902"/>
      </w:tblGrid>
      <w:tr>
        <w:trPr>
          <w:trHeight w:val="375" w:hRule="atLeast"/>
          <w:cantSplit/>
        </w:trPr>
        <w:tc>
          <w:tcPr>
            <w:tcW w:w="2564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服務紀錄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專業及相關服務現況</w:t>
            </w:r>
          </w:p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(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{relatedServicesBlock}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其它</w:t>
            </w: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1"/>
              </w:numPr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{otherServiceSuggestionsBlock}</w:t>
            </w:r>
          </w:p>
        </w:tc>
      </w:tr>
      <w:tr>
        <w:trPr>
          <w:trHeight w:val="1426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DFKai-SB" w:hAnsi="DFKai-SB" w:cs="DFKai-SB" w:eastAsia="DFKai-SB"/>
          <w:b/>
          <w:color w:val="7F7F7F"/>
          <w:sz w:val="24"/>
          <w:szCs w:val="24"/>
        </w:rPr>
        <w:t>＊上述各項內容，</w:t>
      </w:r>
      <w:r>
        <w:rPr>
          <w:rFonts w:ascii="DFKai-SB" w:hAnsi="DFKai-SB" w:cs="DFKai-SB" w:eastAsia="DFKai-SB"/>
          <w:b/>
          <w:sz w:val="24"/>
          <w:szCs w:val="24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FKai-SB" w:hAnsi="DFKai-SB" w:eastAsia="DFKai-SB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