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Міністерство освіти і науки України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Черкаський державний технологічний університет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інформаційної безпеки та комп’ютерної інженерії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ЗВІТ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 лабораторної роботи №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 дисципліни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Комп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ютерна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хемотехн</w:t>
      </w:r>
      <w:r>
        <w:rPr>
          <w:rFonts w:cs="Times New Roman" w:ascii="Times New Roman" w:hAnsi="Times New Roman"/>
          <w:b/>
          <w:bCs/>
          <w:sz w:val="28"/>
          <w:szCs w:val="28"/>
        </w:rPr>
        <w:t>іка»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ind w:left="705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705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Перевірив роботу:</w:t>
        <w:tab/>
        <w:tab/>
        <w:tab/>
        <w:tab/>
        <w:tab/>
        <w:tab/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bCs/>
          <w:sz w:val="28"/>
          <w:szCs w:val="28"/>
        </w:rPr>
        <w:t>Виконала роботу: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</w:rPr>
        <w:t>к.т.н., доцент</w:t>
        <w:tab/>
        <w:tab/>
        <w:tab/>
        <w:tab/>
        <w:tab/>
        <w:tab/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            </w:t>
      </w:r>
      <w:r>
        <w:rPr>
          <w:rFonts w:cs="Times New Roman" w:ascii="Times New Roman" w:hAnsi="Times New Roman"/>
          <w:bCs/>
          <w:sz w:val="28"/>
          <w:szCs w:val="28"/>
        </w:rPr>
        <w:t>Бригада групи КМ-1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75 Хрульов М.В                                                                       </w:t>
      </w:r>
      <w:r>
        <w:rPr>
          <w:rFonts w:cs="Times New Roman" w:ascii="Times New Roman" w:hAnsi="Times New Roman"/>
          <w:bCs/>
          <w:sz w:val="28"/>
          <w:szCs w:val="28"/>
        </w:rPr>
        <w:t>Мамай В.І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ab/>
        <w:tab/>
        <w:tab/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                                           </w:t>
      </w:r>
      <w:r>
        <w:rPr>
          <w:rFonts w:cs="Times New Roman" w:ascii="Times New Roman" w:hAnsi="Times New Roman"/>
          <w:bCs/>
          <w:sz w:val="28"/>
          <w:szCs w:val="28"/>
        </w:rPr>
        <w:t>Яковлев О.О</w:t>
      </w:r>
    </w:p>
    <w:p>
      <w:pPr>
        <w:pStyle w:val="Normal"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                                                                                               </w:t>
      </w:r>
      <w:r>
        <w:rPr>
          <w:rFonts w:cs="Times New Roman" w:ascii="Times New Roman" w:hAnsi="Times New Roman"/>
          <w:bCs/>
          <w:sz w:val="28"/>
          <w:szCs w:val="28"/>
        </w:rPr>
        <w:t>Руденко І.М</w:t>
      </w:r>
    </w:p>
    <w:p>
      <w:pPr>
        <w:pStyle w:val="Normal"/>
        <w:rPr/>
      </w:pPr>
      <w:r>
        <w:rPr>
          <w:rFonts w:cs="Times New Roman" w:ascii="Times New Roman" w:hAnsi="Times New Roman"/>
          <w:bCs/>
          <w:sz w:val="28"/>
          <w:szCs w:val="28"/>
        </w:rPr>
        <w:t>Косенко А.В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                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>ЧЕРКАСИ 201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9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Тема:</w:t>
      </w:r>
      <w:r>
        <w:rPr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Ознайомлення з ПО Electronics Workbench.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Мета роботи: вивчити характеристики і порядок роботи з ПО Electronics Workbench. Навчитися моделювати електронні схеми і досліджувати створені моделі.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Програма Electronics Workbench призначена для моделювання аналогові, цифрові і цифро-аналогові схеми великій мірі складності.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З прилад</w:t>
      </w:r>
      <w:r>
        <w:rPr>
          <w:rFonts w:cs="Times New Roman" w:ascii="Times New Roman" w:hAnsi="Times New Roman"/>
          <w:bCs/>
          <w:sz w:val="28"/>
          <w:szCs w:val="28"/>
        </w:rPr>
        <w:t>ів було використано генератор слів та логічний аналізатор.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</w:rPr>
        <w:t>Вони мають такі технічні характеристики: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1)генератор сл</w:t>
      </w:r>
      <w:r>
        <w:rPr>
          <w:rFonts w:cs="Times New Roman" w:ascii="Times New Roman" w:hAnsi="Times New Roman"/>
          <w:bCs/>
          <w:sz w:val="28"/>
          <w:szCs w:val="28"/>
        </w:rPr>
        <w:t xml:space="preserve">ів: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Кнопка cycle - переводить генератор в циклічний режим. В цьому режимі генератор виробляє слова розташовані за адресами від значення зазначеного в поле введення "Initial" на адресу зазначеного в поле "Final". Після досягнення адресу зазначеного в поле "Final" цикл повторюється.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Кнопка burst - дозволяє подати разову послідовність слів. В цьому режимі генератор також формує слова розташовані за адресами від значення зазначеного в поле введення "Initial" на адресу зазначеного в поле "Final", але після досягнення адресу зазначеного в поле "Final" робота генератора зупиняється.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Кнопка step - дозволяє подавати послідовність слів в покроковому режимі. З кожним натисканням кнопки адрес формується слова инкрементируется.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Кнопка breakpoint - дозволяє встановлювати точку зупинки (переривання). Для того щоб встановити точку зупинки необхідно в поле зі списком слів вибрати потрібну позицію (слово) і натиснути на кнопу. Після досягнення точки зупинки генератор зупиняється (виконання циклу, якщо генератор працює в цьому режимі, переривається).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Кнопка patern - відкриває вікно налаштувань приладу.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Послідовність слів можна вводить або вручну, або вибрати одну з типових послідовностей у вікні налаштувань генератора слів. Причому вводить слова вручну можна в декількох режимах - безпосередньо в шістнадцятковому значенні (вводиться в поле зі списком слів, як показано на рис. 9.15), шестнадцатіразрядного бінарним кодом в поле введення "Binary", або символами з кодуванням ASCII в поле введення "ASCII" (при цьому буде записуватися як би шістнадцятковий код введеного символу).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Кількість виходів – 16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2)</w:t>
      </w:r>
      <w:r>
        <w:rPr>
          <w:rFonts w:cs="Times New Roman" w:ascii="Times New Roman" w:hAnsi="Times New Roman"/>
          <w:bCs/>
          <w:sz w:val="28"/>
          <w:szCs w:val="28"/>
        </w:rPr>
        <w:t>Логічний аналізатор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На екрані приладу розташовані два вимірювальних бігунка, які дозволяють вимірювати часові інтервали і (або) тривалість імпульсів. Результати вимірювання відображаються в спеціальному полі на панелі приладу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При натисканні кнопки на панелі "Clock" вийде вікно "Clock setup" ( "Опції синхронізації") настройки синхронізації приладу.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У ньому можна налаштувати роботу приладу, встановити режим його роботи від внутрішнього або зовнішнього джерела тактових сигналів. Розглянемо ці настройки докладніше.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"Clock edge" - режим спрацьовування на тактові імпульси.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Він може приймати значення: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"Positive" - ​​позитивний імпульс;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"Negative" - ​​негативний імпульс.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"Clock mode" - режим синхронізації аналізатора.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Він також може приймати два значення: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"Internal" - тактирование від внутрішнього джерела імпульсів;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"External" - тактирование від зовнішнього джерела імпульсів.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"Clock qualifier" - керування синхронізацією логічного аналізатора по входу qualifier.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"Internal clock rate" - частота проходження імпульсів внутрішнього джерела синхросигналов.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"Logic analyzer" - настройка логічного аналізатора. На цій панелі можна задати три настройки: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"Pre-trigger samples" - розмір pre-буфера;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"Post-trigger samples" - розмір post-буфера;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"Threshold voltage" - Граничне напруга.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Хід роботи</w:t>
      </w:r>
      <w:bookmarkStart w:id="0" w:name="_GoBack"/>
      <w:bookmarkEnd w:id="0"/>
    </w:p>
    <w:p>
      <w:pPr>
        <w:pStyle w:val="Normal"/>
        <w:spacing w:lineRule="auto" w:line="240" w:before="0" w:after="0"/>
        <w:ind w:left="708" w:firstLine="708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93345</wp:posOffset>
            </wp:positionH>
            <wp:positionV relativeFrom="page">
              <wp:posOffset>1432560</wp:posOffset>
            </wp:positionV>
            <wp:extent cx="5940425" cy="4751070"/>
            <wp:effectExtent l="0" t="0" r="0" b="0"/>
            <wp:wrapSquare wrapText="bothSides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3472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736"/>
        <w:gridCol w:w="1735"/>
      </w:tblGrid>
      <w:tr>
        <w:trPr/>
        <w:tc>
          <w:tcPr>
            <w:tcW w:w="173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1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Номер бригад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735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Частота кГц</w:t>
            </w:r>
          </w:p>
        </w:tc>
      </w:tr>
      <w:tr>
        <w:trPr/>
        <w:tc>
          <w:tcPr>
            <w:tcW w:w="1736" w:type="dxa"/>
            <w:tcBorders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735" w:type="dxa"/>
            <w:tcBorders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20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Cs/>
          <w:sz w:val="28"/>
          <w:szCs w:val="28"/>
        </w:rPr>
        <w:t>Висновок: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 xml:space="preserve">було </w:t>
      </w:r>
      <w:r>
        <w:rPr>
          <w:rFonts w:cs="Times New Roman" w:ascii="Times New Roman" w:hAnsi="Times New Roman"/>
          <w:sz w:val="28"/>
          <w:szCs w:val="28"/>
        </w:rPr>
        <w:t>вивчено характеристики і порядок роботи з ПО Electronics Workbench. Навчено моделювати електронні схеми і досліджувати створені моделі.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2ef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f0b07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LibreOffice/6.3.3.2.0$Linux_X86_64 LibreOffice_project/30$Build-2</Application>
  <Pages>5</Pages>
  <Words>504</Words>
  <Characters>3369</Characters>
  <CharactersWithSpaces>4174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2018-12-09T13:26:00Z</dcterms:created>
  <dc:creator>Kaminskiy Anton</dc:creator>
  <dc:description/>
  <dc:language>en-US</dc:language>
  <cp:lastModifiedBy/>
  <dcterms:modified xsi:type="dcterms:W3CDTF">2019-12-21T12:05:24Z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