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rFonts w:ascii="Calibri" w:hAnsi="Calibri"/>
          <w:b/>
          <w:i w:val="0"/>
          <w:color w:val="124A86"/>
          <w:sz w:val="48"/>
        </w:rPr>
        <w:t>GrantFlow Stellar</w:t>
      </w:r>
    </w:p>
    <w:p>
      <w:pPr>
        <w:pStyle w:val="SubtitleCustom"/>
      </w:pPr>
      <w:r>
        <w:rPr>
          <w:rFonts w:ascii="Calibri" w:hAnsi="Calibri"/>
          <w:b w:val="0"/>
          <w:i w:val="0"/>
          <w:color w:val="5B6673"/>
          <w:sz w:val="23"/>
        </w:rPr>
        <w:t>Documento funcional v0.3 • adaptación exclusiva al Stellar Track • listo para construcción del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DCEAF7"/>
            <w:tcBorders>
              <w:top w:val="single" w:sz="0" w:color="DCEAF7"/>
              <w:left w:val="single" w:sz="0" w:color="DCEAF7"/>
              <w:bottom w:val="single" w:sz="0" w:color="DCEAF7"/>
              <w:right w:val="single" w:sz="0" w:color="DCEAF7"/>
            </w:tcBorders>
          </w:tcPr>
          <w:p/>
        </w:tc>
      </w:tr>
    </w:tbl>
    <w:p>
      <w:pPr>
        <w:pStyle w:val="Lead"/>
        <w:spacing w:after="160" w:before="0" w:lineRule="auto" w:line="283"/>
      </w:pPr>
      <w:r>
        <w:rPr>
          <w:rFonts w:ascii="Calibri" w:hAnsi="Calibri"/>
          <w:b w:val="0"/>
          <w:i w:val="0"/>
          <w:color w:val="232B33"/>
          <w:sz w:val="23"/>
        </w:rPr>
        <w:t>Plataforma para grants y fondos de impacto en Stellar: escrow programable, evidencia de avance, microdesembolsos parciales y override humano justificado.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c>
          <w:tcPr>
            <w:tcW w:type="dxa" w:w="7056"/>
            <w:gridSpan w:val="2"/>
            <w:shd w:fill="DC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/>
                <w:i w:val="0"/>
                <w:color w:val="232B33"/>
                <w:sz w:val="21"/>
              </w:rPr>
              <w:t>Resumen de decisiones cerradas</w:t>
            </w:r>
          </w:p>
        </w:tc>
      </w:tr>
      <w:t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4FB"/>
          </w:tcPr>
          <w:p>
            <w:pPr>
              <w:spacing w:after="0" w:before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232B33"/>
                <w:sz w:val="20"/>
              </w:rPr>
              <w:t>Modalidad objetivo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Hackathon. El documento está orientado a código funcional, demo accesible, deck, video y evidencia de validación del problema.</w:t>
            </w:r>
          </w:p>
        </w:tc>
      </w:tr>
      <w:t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4FB"/>
          </w:tcPr>
          <w:p>
            <w:pPr>
              <w:spacing w:after="0" w:before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232B33"/>
                <w:sz w:val="20"/>
              </w:rPr>
              <w:t>Narrativa principal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Impacto Social con Stellar. Posicionamiento secundario: Pagos y finanzas con impacto real.</w:t>
            </w:r>
          </w:p>
        </w:tc>
      </w:tr>
      <w:t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4FB"/>
          </w:tcPr>
          <w:p>
            <w:pPr>
              <w:spacing w:after="0" w:before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232B33"/>
                <w:sz w:val="20"/>
              </w:rPr>
              <w:t>Decisión central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Abandonar el enfoque multichain del MVP. Construir una sola experiencia end-to-end en Stellar para maximizar puntaje en integración, ejecución e impacto.</w:t>
            </w:r>
          </w:p>
        </w:tc>
      </w:tr>
      <w:t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EAF4FB"/>
          </w:tcPr>
          <w:p>
            <w:pPr>
              <w:spacing w:after="0" w:before="0" w:lineRule="auto" w:line="276"/>
              <w:jc w:val="left"/>
            </w:pPr>
            <w:r>
              <w:rPr>
                <w:rFonts w:ascii="Calibri" w:hAnsi="Calibri"/>
                <w:b/>
                <w:i w:val="0"/>
                <w:color w:val="232B33"/>
                <w:sz w:val="20"/>
              </w:rPr>
              <w:t>Stack recomendado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Soroban + contrato único de escrow/release + dashboard web + Freighter / Stellar Wallets Kit + Stellar RPC/Horizon + GitHub/tests/docs como capa de evidencia.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AF4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Idea fuerza: no vender esto como “otro portal para aplicar a grants”. Venderlo como la capa que convierte grants, becas y fondos de impacto en flujos programables sobre Stellar: depósitos en custodia, evidencia de avance, liberación parcial, pausa y trazabilidad para Argentina y LATAM.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FFF7E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Nota operativa: para premios, cierre y forma de entrega se toma como verdad la información actual del track compartida para DoraHacks. La guía comunitaria de Stellar se usa como apoyo técnico y para criterios de evaluación, no como fuente operativa de premios.</w:t>
            </w:r>
          </w:p>
        </w:tc>
      </w:tr>
    </w:tbl>
    <w:p>
      <w:r>
        <w:br w:type="page"/>
      </w:r>
    </w:p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1. Resumen ejecutivo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GrantFlow Stellar convierte grants, becas y fondos de impacto en un flujo programable y controlado dentro del ecosistema Stellar. Un sponsor deposita fondos en una bóveda onchain; el beneficiario vincula repositorio, wallet y entregables; un motor de evidencia calcula avance; y un reviewer puede aprobar, ajustar o pausar microdesembolsos parciales con trazabilidad.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tesis del producto se mantiene, pero se simplifica para el hackathon: no construir un marketplace completo de aplicaciones ni un sistema multichain. El MVP debe demostrar una sola historia de extremo a extremo en Stellar: creación del grant, depósito, evidencia, revisión, release parcial y pausa.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narrativa recomendada para el submit es social y regional: distribución transparente de fondos para builders, ONGs, universidades, cooperativas o programas de innovación en Argentina y LATAM. Si el jurado pregunta por monetización o escalabilidad, el mismo producto también se defiende como infraestructura de pagos programables y cashflow inteligente.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Definición corta para deck y pitch: “GrantFlow Stellar permite distribuir grants y fondos de impacto en Stellar de forma gradual, verificable y pausables, reduciendo riesgo para quien financia y mejorando el cashflow para quien ejecuta.”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2. Decisión de posicionamiento dentro del Stellar Track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2.1 Track recomendado y relato de submit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Decisión</w:t>
            </w:r>
          </w:p>
        </w:tc>
        <w:tc>
          <w:tcPr>
            <w:tcW w:type="dxa" w:w="252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Opción</w:t>
            </w:r>
          </w:p>
        </w:tc>
        <w:tc>
          <w:tcPr>
            <w:tcW w:type="dxa" w:w="532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Por qué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Track primario</w:t>
            </w:r>
          </w:p>
        </w:tc>
        <w:tc>
          <w:tcPr>
            <w:tcW w:type="dxa" w:w="252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Impacto Social con Stellar</w:t>
            </w:r>
          </w:p>
        </w:tc>
        <w:tc>
          <w:tcPr>
            <w:tcW w:type="dxa" w:w="53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El caso de uso encaja de forma directa con distribución transparente de fondos, inclusión financiera y trazabilidad del valor.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Track secundario</w:t>
            </w:r>
          </w:p>
        </w:tc>
        <w:tc>
          <w:tcPr>
            <w:tcW w:type="dxa" w:w="252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Pagos y finanzas con impacto real</w:t>
            </w:r>
          </w:p>
        </w:tc>
        <w:tc>
          <w:tcPr>
            <w:tcW w:type="dxa" w:w="53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Sirve como discurso de apoyo porque el producto también optimiza desembolsos, microadelantos y administración de fondos.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Usuario inicial</w:t>
            </w:r>
          </w:p>
        </w:tc>
        <w:tc>
          <w:tcPr>
            <w:tcW w:type="dxa" w:w="252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 / sponsor</w:t>
            </w:r>
          </w:p>
        </w:tc>
        <w:tc>
          <w:tcPr>
            <w:tcW w:type="dxa" w:w="53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Puede ser una fundación, universidad, programa de becas, aceleradora, ONG o actor privado que financia proyectos.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Beneficiario visible</w:t>
            </w:r>
          </w:p>
        </w:tc>
        <w:tc>
          <w:tcPr>
            <w:tcW w:type="dxa" w:w="252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Builder / equipo / organización</w:t>
            </w:r>
          </w:p>
        </w:tc>
        <w:tc>
          <w:tcPr>
            <w:tcW w:type="dxa" w:w="53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Recibe desembolsos parciales según avance y reduce la fricción de reporting.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2.2 Qué no se va a construir en este MVP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multichain. Todo el flujo crítico del MVP vive en Stellar.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bridge, no ruteo entre redes y no varias chains por grant.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KYC, SEP-6 o SEP-24 como dependencia del demo. Eso queda como expansión futura.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marketplace amplio de postulaciones. La parte de aplicación será mínima y funcional.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scoring 100 % autónomo con liberación irreversible. El modelo será semiautomático con override humano justificado.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No multi-asset complejo por grant. Cada grant del MVP usa un solo activo Stellar.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2.3 Por qué esta decisión maximiza costo/beneficio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El criterio más pesado del hackathon es la integración con Stellar, seguido por impacto y ejecución. Por eso conviene concentrar el esfuerzo en un contrato Soroban real, una integración de wallet real y un demo completo de depósito a desembolso, en vez de dispersarse en varias cadenas o en features periféricas.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FF8F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Regla de oro del MVP: profundidad en Stellar &gt; amplitud de features. Un flujo corto que funcione puntúa mejor que una plataforma ambiciosa con partes simuladas.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3. Problema que resuelve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Actor</w:t>
            </w:r>
          </w:p>
        </w:tc>
        <w:tc>
          <w:tcPr>
            <w:tcW w:type="dxa" w:w="756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Dolor principal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 / sponsor</w:t>
            </w:r>
          </w:p>
        </w:tc>
        <w:tc>
          <w:tcPr>
            <w:tcW w:type="dxa" w:w="75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Hoy financia con poca visibilidad: o adelanta demasiado y asume riesgo de misuse, o revisa manualmente todo y frena el programa.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Beneficiario</w:t>
            </w:r>
          </w:p>
        </w:tc>
        <w:tc>
          <w:tcPr>
            <w:tcW w:type="dxa" w:w="75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Sufre un flujo de caja binario: cobra tarde, reporta varias veces lo mismo y depende de revisiones poco previsibles.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Programa / ecosistema</w:t>
            </w:r>
          </w:p>
        </w:tc>
        <w:tc>
          <w:tcPr>
            <w:tcW w:type="dxa" w:w="75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Pierde trazabilidad, comparabilidad e historial de decisiones. El seguimiento escala mal cuando aumentan los grants.</w:t>
            </w:r>
          </w:p>
        </w:tc>
      </w:tr>
    </w:tbl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En Argentina y LATAM esto pega especialmente en programas con recursos escasos: becas, microgrants, fondos universitarios, aceleradoras, cooperativas y organizaciones que necesitan justificar cada peso, pero no tienen capacidad operativa para hacer auditoría continua.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oportunidad de producto es clara: usar Stellar como rail de fondos y Soroban como capa de reglas para transformar grants discrecionales en desembolsos progresivos, explicables y auditables.</w:t>
      </w:r>
    </w:p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4. Definición del producto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4.1 Propuesta de valor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Para sponsors: control de riesgo, liberación parcial, pausa, reclaim del remanente no ganado y trazabilidad de cada pago.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Para beneficiarios: reglas claras, mejor cashflow, menos fricción para reportar avances y visibilidad del estado de su grant.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Para el programa: panel único con evidencia, decisiones, transacciones y explicación de cada desembolso.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4.2 Casos de uso más defendibles para el pitch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Caso</w:t>
            </w:r>
          </w:p>
        </w:tc>
        <w:tc>
          <w:tcPr>
            <w:tcW w:type="dxa" w:w="676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Cómo se cuenta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Microgrants a builders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Sponsors o hackathons liberan capital por avance de repositorio, demo y entregables.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Becas o fondos universitarios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Programas académicos pagan por etapas verificadas de investigación, prototipo o mentoría.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Fondos para ONGs o cooperativas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Desembolsos parciales con transparencia sobre uso del capital y entregables comunitarios.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Programas de innovación regional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Un actor público o privado financia varias iniciativas y necesita un panel de control unificado.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4.3 Roles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Rol</w:t>
            </w:r>
          </w:p>
        </w:tc>
        <w:tc>
          <w:tcPr>
            <w:tcW w:type="dxa" w:w="720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 / Sponsor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 el grant, deposita fondos, define activo, cap por período, reviewer y reglas básicas.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Beneficiario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Acepta el grant, conecta wallet y evidencias, y recibe releases parciales.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 / Operador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Ve score, evidencia y flags; aprueba, ajusta, pausa o libera fondos con justificación.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Visitante / Jurado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Consulta una vista de transparencia con hitos, releases y hash de evidencia.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5. Alcance exacto del MVP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5.1 Flujo que sí debe existir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Paso</w:t>
            </w:r>
          </w:p>
        </w:tc>
        <w:tc>
          <w:tcPr>
            <w:tcW w:type="dxa" w:w="216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Módulo</w:t>
            </w:r>
          </w:p>
        </w:tc>
        <w:tc>
          <w:tcPr>
            <w:tcW w:type="dxa" w:w="676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Resultado mínimo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Crear grant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 de grant con título, beneficiario, activo, presupuesto, hitos descriptivos, cap por ventana y reviewer.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Depositar fondos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Depósito en la bóveda Soroban y visualización del saldo disponible.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Cargar evidencia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GitHub, tests/CI, documentación, demo URL y notas manuales.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Evaluar avance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Backend calcula score, flags y monto elegible sugerido.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Decidir release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 acepta, ajusta o pausa; toda excepción queda justificada.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Pagar y auditar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Release parcial onchain, timeline de eventos y remanente retenido.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5.2 Alcance fuera del MVP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Subastas, quadratic funding o matching pools.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Payouts cross-border fiat mediante anchor integrado.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Identity/KYC productivo.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Múltiples beneficiarios con splits complejos por grant.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Puntaje de reputación transversal entre programas.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Integración con más de una wallet como requisito crítico.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5.3 Modo operativo recomendado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El modo por defecto del MVP debe ser semiautomático. El sistema calcula un monto elegible y muestra la explicación; el reviewer decide en un clic si libera, ajusta o pausa. Esto preserva la tesis del producto —menos análisis manual— sin elevar demasiado el riesgo técnico del hackathon.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FFF7E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Stretch goal: habilitar auto-release solo si el grantor activó la política y no existen flags de riesgo. No debe ser una dependencia del demo.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6. Arquitectura propuesta para Stellar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6.1 Decisión técnica de mayor costo/beneficio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mejor relación costo/beneficio es un contrato Soroban único para custodia y releases, con la inteligencia de evidencia y scoring fuera de la cadena. Así se obtiene integración profunda con Stellar sin forzar una arquitectura demasiado grande para 72 horas.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Capa</w:t>
            </w:r>
          </w:p>
        </w:tc>
        <w:tc>
          <w:tcPr>
            <w:tcW w:type="dxa" w:w="259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Módulo</w:t>
            </w:r>
          </w:p>
        </w:tc>
        <w:tc>
          <w:tcPr>
            <w:tcW w:type="dxa" w:w="583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Función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Onchain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GrantVault (Soroban)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Custodia fondos, registra estado, pausa, reclaim y ejecuta releases parciales.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Onchain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Eventos / hashes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Ancla el último paquete de evidencia o decisión para que el dashboard y el jurado vean trazabilidad.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Offchain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Dashboard web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 de grant, carga de evidencias, panel del reviewer, timeline y demo pública.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Offchain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Evidence engine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Lee GitHub, tests/CI, docs, notas y construye el paquete de evidencia.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Offchain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Scoring + policy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Produce score, flags y monto sugerido según reglas parametrizables.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Wallet</w:t>
            </w:r>
          </w:p>
        </w:tc>
        <w:tc>
          <w:tcPr>
            <w:tcW w:type="dxa" w:w="259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Freighter / Wallet Kit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Firma transacciones y simplifica la conexión web con Stellar.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6.2 Componentes onchain que realmente hacen falta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Módulo</w:t>
            </w:r>
          </w:p>
        </w:tc>
        <w:tc>
          <w:tcPr>
            <w:tcW w:type="dxa" w:w="144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MVP</w:t>
            </w:r>
          </w:p>
        </w:tc>
        <w:tc>
          <w:tcPr>
            <w:tcW w:type="dxa" w:w="604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Comentario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GrantVault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Contrato principal. Guarda grantor, beneficiario, reviewer, activo, total, released, paused y hashes de soporte.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Create / Fund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Permite alta del grant y depósito de fondos.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Release partial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Libera una parte del saldo al beneficiario.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Pause / Unpause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Frena nuevos releases cuando existe riesgo o duda.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Reclaim unused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Devuelve al grantor el remanente no ganado cuando el grant se cierra o pausa definitivamente.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Milestone storage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Opcional liviano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Puede almacenarse solo como metadata hash para simplificar el contrato.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USD pricing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No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Debe quedar fuera de la cadena; solo se usa en UI y reporting.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6.3 Decisiones técnicas específicas de Stellar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Elemento</w:t>
            </w:r>
          </w:p>
        </w:tc>
        <w:tc>
          <w:tcPr>
            <w:tcW w:type="dxa" w:w="158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Decisión</w:t>
            </w:r>
          </w:p>
        </w:tc>
        <w:tc>
          <w:tcPr>
            <w:tcW w:type="dxa" w:w="604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Razonamiento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Soroban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Sí, obligatorio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Es la pieza que demuestra integración real y permite reglas programables.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Wallet Kit / Freighter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Sí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Resuelve conexión de wallet y firma en el dashboard con bajo esfuerzo.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Activo del 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Uno por grant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Usar un solo activo reduce complejidad de escrow, UI y pruebas.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Fee-bump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Stretch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Sirve para patrocinar fees si el tiempo alcanza, pero no debe bloquear el MVP.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Claimable balances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Fase 2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Son útiles para pagos condicionales, pero no hacen falta para el primer demo si ya existe Soroban.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SEP-6 / SEP-24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Futuro</w:t>
            </w:r>
          </w:p>
        </w:tc>
        <w:tc>
          <w:tcPr>
            <w:tcW w:type="dxa" w:w="60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Buenos para on/off ramp con anchors, pero fuera de alcance del hackathon.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AF4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Activo recomendado para la demo: un activo Stellar simple y estable en testnet. Si USDC de demo no queda firme a tiempo, usar XLM o un activo de prueba con referencia en USD en el dashboard. Nunca trabar la entrega por esperar el activo “perfecto”.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7. Modelo funcional y de datos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7.1 Entidades mínimas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Entidad</w:t>
            </w:r>
          </w:p>
        </w:tc>
        <w:tc>
          <w:tcPr>
            <w:tcW w:type="dxa" w:w="7416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Campos clave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id, title, sponsor, reviewer, beneficiary, asset, total_amount, cap_per_window, released_amount, status, metadata_hash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Milestone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grant_id, order, name, description, target_date, budget_hint, status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EvidencePack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grant_id, window, github_refs, test_refs, docs_urls, demo_url, notes, evidence_hash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Evaluation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grant_id, score, risk_flags, suggested_amount, reviewer_note, override_reason, decision_hash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Release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grant_id, amount, tx_hash, executed_by, executed_at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Dispute / Pause</w:t>
            </w:r>
          </w:p>
        </w:tc>
        <w:tc>
          <w:tcPr>
            <w:tcW w:type="dxa" w:w="741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grant_id, reason, raised_by, status, resolution_note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7.2 Interfaces mínimas para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Método del contrato</w:t>
            </w:r>
          </w:p>
        </w:tc>
        <w:tc>
          <w:tcPr>
            <w:tcW w:type="dxa" w:w="158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Quién lo usa</w:t>
            </w:r>
          </w:p>
        </w:tc>
        <w:tc>
          <w:tcPr>
            <w:tcW w:type="dxa" w:w="568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create_grant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 el grant con parámetros base y metadata hash.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fund_grant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Deposita el activo en la bóveda.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assign_beneficiary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grantor/reviewer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Vincula la cuenta Stellar que recibirá desembolsos.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record_decision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Registra hash de evidencia, score y monto sugerido.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release_partial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Libera una porción del saldo al beneficiario.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pause_grant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grantor/reviewer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Bloquea nuevos releases.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resume_grant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grantor/reviewer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Reactiva el grant después de una revisión.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reclaim_unused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grantor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Recupera remanente no ganado al cierre.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get_grant</w:t>
            </w:r>
          </w:p>
        </w:tc>
        <w:tc>
          <w:tcPr>
            <w:tcW w:type="dxa" w:w="15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read</w:t>
            </w:r>
          </w:p>
        </w:tc>
        <w:tc>
          <w:tcPr>
            <w:tcW w:type="dxa" w:w="568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Devuelve el estado consolidado del grant.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38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Endpoint mínimo</w:t>
            </w:r>
          </w:p>
        </w:tc>
        <w:tc>
          <w:tcPr>
            <w:tcW w:type="dxa" w:w="626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/api/grants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Crear grant y persistir metadata offchain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/api/evidence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Subir o sincronizar evidencia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/api/evaluations/run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Calcular score y monto elegible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/api/evaluations/override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Guardar ajuste manual justificado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/api/releases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Ejecutar release onchain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POST /api/pauses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Pausar o reactivar grant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GET /api/grants/:id/dashboard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Leer estado consolidado para UI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GET /api/grants/:id/audit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Exportar timeline de evidencia + decisiones + tx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7.3 Fórmula operativa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FF8F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eligible_release = min(cap_window, remaining_budget × progress_factor × safety_factor)</w:t>
              <w:br/>
              <w:br/>
              <w:t>progress_factor nace del score de avance; safety_factor cae cuando aparecen flags de riesgo. En el MVP, el reviewer siempre puede ajustar el monto, pero la decisión queda explicada y anclada con un hash.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8. Proof of Progress para el MVP</w:t>
      </w:r>
    </w:p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lógica de evaluación no debe intentar “adivinar” todo. Tiene que ser simple, explicable y demo-friendly. La unidad operativa no es el commit aislado, sino el paquete de evidencia por ventana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Señal</w:t>
            </w:r>
          </w:p>
        </w:tc>
        <w:tc>
          <w:tcPr>
            <w:tcW w:type="dxa" w:w="144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Peso sugerido</w:t>
            </w:r>
          </w:p>
        </w:tc>
        <w:tc>
          <w:tcPr>
            <w:tcW w:type="dxa" w:w="583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Qué mira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GitHub y CI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30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Commits, PRs, tests pasando, cobertura o build exitosa.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Entregables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25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Demo URL, documentación, video corto, deck o changelog.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Señales en Stellar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15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Actividad relevante del proyecto o uso del activo/cuenta vinculada cuando aplique.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Consistencia temporal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10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Actividad sostenida en la ventana; evita picos artificiales.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 confidence</w:t>
            </w:r>
          </w:p>
        </w:tc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20</w:t>
            </w:r>
          </w:p>
        </w:tc>
        <w:tc>
          <w:tcPr>
            <w:tcW w:type="dxa" w:w="583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Chequeo rápido humano con posibilidad de bajar riesgo o ajustar monto.</w:t>
            </w:r>
          </w:p>
        </w:tc>
      </w:tr>
    </w:tbl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Los pesos no son dogma; sirven para arrancar. El jurado va a valorar más que el criterio sea visible y entendible que una fórmula demasiado sofisticada. En el dashboard debe verse qué señales influyeron y por qué el release sugerido es el que 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Enfoque correcto para el pitch: “no automatizamos la confianza; automatizamos la parte repetitiva del seguimiento y dejamos la última palabra a una política verificable y a un reviewer responsable”.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9. Alineación con criterios del hackathon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Criterio</w:t>
            </w:r>
          </w:p>
        </w:tc>
        <w:tc>
          <w:tcPr>
            <w:tcW w:type="dxa" w:w="676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Qué debe ver el jurado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Integración con Stellar (25 %)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Contrato Soroban real, wallet conectada, activo Stellar, transacción de release visible en demo.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Impacto (20 %)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Problema concreto de grants y fondos de impacto en Argentina/LATAM. Mostrar para quién mejora la distribución del valor.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Ejecución y calidad (20 %)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Flujo end-to-end funcionando: crear grant, cargar evidencia, liberar parcialmente, pausar.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Innovación (15 %)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Cashflow adaptativo con evidencia y control de riesgo. No es una wallet ni un dashboard genérico.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Validación (10 %)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Tres a cinco entrevistas rápidas o mensajes documentados de grantors, ONGs, universidades o builders.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Presentación (10 %)</w:t>
            </w:r>
          </w:p>
        </w:tc>
        <w:tc>
          <w:tcPr>
            <w:tcW w:type="dxa" w:w="676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Pitch claro de 5 minutos con una sola historia; sin dispersión multichain.</w:t>
            </w:r>
          </w:p>
        </w:tc>
      </w:tr>
    </w:tbl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La validación no puede quedar para el final. Aunque sea un MVP, hay que adjuntar evidencia de problema: entrevistas, capturas de conversaciones, formulario breve o feedback de potenciales usuarios. Ese material también sirve para el deck.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FFF7E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19"/>
              </w:rPr>
              <w:t>Checklist de validación mínima: 1 sponsor potencial, 1 organización o programa, 1 beneficiario potencial. Tres conversaciones bien documentadas ya mejoran mucho la defensa.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10. Demo, entregables y packaging de submit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10.1 Guion sugerido de demo de 5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Tiempo</w:t>
            </w:r>
          </w:p>
        </w:tc>
        <w:tc>
          <w:tcPr>
            <w:tcW w:type="dxa" w:w="172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Bloque</w:t>
            </w:r>
          </w:p>
        </w:tc>
        <w:tc>
          <w:tcPr>
            <w:tcW w:type="dxa" w:w="648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Qué mostrar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0:00–0:40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Problema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Mostrar por qué los grants binarios y manuales son ineficientes.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0:40–1:10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Solución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Explicar GrantFlow Stellar en una frase.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1:10–2:00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Crear grant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 de grant, activo, cap, reviewer y depósito.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2:00–2:50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Evidencia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GitHub/tests/docs cargados y score resultante.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2:50–3:40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Release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Reviewer aprueba un microdesembolso y se ve la tx en Stellar.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3:40–4:20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Riesgo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Simular flag, pausa y retención del remanente.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4:20–5:00</w:t>
            </w:r>
          </w:p>
        </w:tc>
        <w:tc>
          <w:tcPr>
            <w:tcW w:type="dxa" w:w="172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Cierre</w:t>
            </w:r>
          </w:p>
        </w:tc>
        <w:tc>
          <w:tcPr>
            <w:tcW w:type="dxa" w:w="648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Impacto en LATAM + por qué Stellar era la elección correcta.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10.2 Entregables obligatorios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Entregable</w:t>
            </w:r>
          </w:p>
        </w:tc>
        <w:tc>
          <w:tcPr>
            <w:tcW w:type="dxa" w:w="720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Repo público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Código documentado y legible, con README claro de setup y demo.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Demo funcional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Link accesible para jurado. Puede ser staging o local deployado públicamente.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Video demo + pitch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Máximo 5 minutos; grabar una versión limpia aunque el pitch presencial sea distinto.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Deck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Problema, usuario, solución, arquitectura, demo, validación y por qué Stellar.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Validación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Entrevistas, formulario, mensajes, capturas o notas de descubrimiento.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Submit en DoraHacks</w:t>
            </w:r>
          </w:p>
        </w:tc>
        <w:tc>
          <w:tcPr>
            <w:tcW w:type="dxa" w:w="72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Crear el BUIDL y luego hacer Submit BUIDL al track antes del cierre.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10.3 Reglas operativas que afectan al equipo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Equipo de 2 a 5 integrantes.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Puede ser híbrido, pero al menos una persona debe estar presente para el evento/pitch según la regla operativa compartida.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Cierre del submit: viernes 17:00 hs, sin excepciones.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Mentorías disponibles: miércoles 15–20, jueves 15–21, viernes 9–17.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Originalidad total: proyecto creado desde cero en el evento y repositorio público documentado.</w:t>
      </w:r>
    </w:p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11. Plan de construcción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Bloque</w:t>
            </w:r>
          </w:p>
        </w:tc>
        <w:tc>
          <w:tcPr>
            <w:tcW w:type="dxa" w:w="626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Entregable</w:t>
            </w:r>
          </w:p>
        </w:tc>
        <w:tc>
          <w:tcPr>
            <w:tcW w:type="dxa" w:w="1512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Prioridad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A. Base del repo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Monorepo, web app, contrato Soroban, variables, testnet, wallet connect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B. Flujo onchain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create_grant, fund_grant, release_partial, pause, reclaim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C. Dashboard sponsor/reviewer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Form de grant, detalle, saldo, timeline, botón release/pause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D. Evidence layer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GitHub básico + upload manual + estado de tests/CI aunque sea mock controlado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E. Score y decisión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Score visible, flags y override justificado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Media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F. Packaging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Deck, video, README, datos demo, validación del problema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G. Extras</w:t>
            </w:r>
          </w:p>
        </w:tc>
        <w:tc>
          <w:tcPr>
            <w:tcW w:type="dxa" w:w="626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Fee-bump, más wallets, vista pública sofisticada</w:t>
            </w:r>
          </w:p>
        </w:tc>
        <w:tc>
          <w:tcPr>
            <w:tcW w:type="dxa" w:w="1512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Baja</w:t>
            </w:r>
          </w:p>
        </w:tc>
      </w:tr>
    </w:tbl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11.1 Orden de implementación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Primero cerrar el contrato, el depósito y el release parcial.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Segundo, conectar wallet y mostrar el saldo/estado en UI.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Tercero, agregar evidencia y score aunque sea con un primer set pequeño de señales reales.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Cuarto, empaquetar la historia completa para demo y pitch.</w:t>
      </w:r>
    </w:p>
    <w:p>
      <w:pPr>
        <w:pStyle w:val="ListBullet"/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Quinto, recién después sumar mejoras como fee sponsorship o más automatización.</w:t>
      </w:r>
    </w:p>
    <w:p>
      <w:pPr>
        <w:pStyle w:val="SubsectionTitle"/>
      </w:pPr>
      <w:r>
        <w:rPr>
          <w:rFonts w:ascii="Calibri" w:hAnsi="Calibri"/>
          <w:b/>
          <w:i w:val="0"/>
          <w:color w:val="0B6E99"/>
          <w:sz w:val="25"/>
        </w:rPr>
        <w:t>11.2 Definición de terminado del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FF8F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El MVP está “listo” cuando el jurado puede ver, en menos de tres minutos, estas cinco cosas: 1) un grant creado, 2) un depósito real en Stellar, 3) evidencia de avance, 4) un microdesembolso onchain, y 5) una pausa/override explicada.</w:t>
            </w:r>
          </w:p>
        </w:tc>
      </w:tr>
    </w:tbl>
    <w:p>
      <w:pPr>
        <w:pStyle w:val="SectionTitle"/>
      </w:pPr>
      <w:r>
        <w:rPr>
          <w:rFonts w:ascii="Calibri" w:hAnsi="Calibri"/>
          <w:b/>
          <w:i w:val="0"/>
          <w:color w:val="124A86"/>
          <w:sz w:val="31"/>
        </w:rPr>
        <w:t>12. Riesgos, mitigaciones y recomendación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1D9E0"/>
          <w:left w:val="single" w:sz="8" w:space="0" w:color="D1D9E0"/>
          <w:bottom w:val="single" w:sz="8" w:space="0" w:color="D1D9E0"/>
          <w:right w:val="single" w:sz="8" w:space="0" w:color="D1D9E0"/>
          <w:insideH w:val="single" w:sz="8" w:space="0" w:color="D1D9E0"/>
          <w:insideV w:val="single" w:sz="8" w:space="0" w:color="D1D9E0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Riesgo</w:t>
            </w:r>
          </w:p>
        </w:tc>
        <w:tc>
          <w:tcPr>
            <w:tcW w:type="dxa" w:w="6624"/>
            <w:shd w:fill="DCEAF7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 w:before="0" w:lineRule="auto" w:line="259"/>
              <w:jc w:val="center"/>
            </w:pPr>
            <w:r>
              <w:rPr>
                <w:rFonts w:ascii="Calibri" w:hAnsi="Calibri"/>
                <w:b/>
                <w:i w:val="0"/>
                <w:color w:val="232B33"/>
                <w:sz w:val="19"/>
              </w:rPr>
              <w:t>Mitigación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Soroban demora más de lo esperado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Reducir a un contrato único, mover milestones complejos a metadata hash y evitar features no esenciales.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El activo elegido complica la demo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Usar XLM o un activo de prueba; mostrar equivalencia USD solo en la UI.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La integración GitHub/CI falla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Mantener upload manual y al menos una señal real conectada para no romper el flujo.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El scoring se vuelve confuso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Mantener 4 o 5 señales visibles y una explicación corta por decisión.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Falta validación del problema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Cerrar entrevistas rápidas antes del submit y documentarlas con capturas o notas.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El pitch se dispersa</w:t>
            </w:r>
          </w:p>
        </w:tc>
        <w:tc>
          <w:tcPr>
            <w:tcW w:type="dxa" w:w="6624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 w:before="0" w:lineRule="auto" w:line="259"/>
              <w:jc w:val="left"/>
            </w:pPr>
            <w:r>
              <w:rPr>
                <w:rFonts w:ascii="Calibri" w:hAnsi="Calibri"/>
                <w:b w:val="0"/>
                <w:i w:val="0"/>
                <w:color w:val="232B33"/>
                <w:sz w:val="18"/>
              </w:rPr>
              <w:t>Contar una sola historia: distribución transparente y gradual de grants en Stellar.</w:t>
            </w:r>
          </w:p>
        </w:tc>
      </w:tr>
    </w:tbl>
    <w:p>
      <w:pPr>
        <w:spacing w:after="100" w:before="0" w:lineRule="auto" w:line="276"/>
      </w:pPr>
      <w:r>
        <w:rPr>
          <w:rFonts w:ascii="Calibri" w:hAnsi="Calibri"/>
          <w:b w:val="0"/>
          <w:i w:val="0"/>
          <w:color w:val="232B33"/>
          <w:sz w:val="21"/>
        </w:rPr>
        <w:t>Recomendación final: construir una sola historia poderosa para Stellar, con Soroban como núcleo técnico y un caso de uso inequívoco de impacto regional. El MVP debe priorizar depósito, evidencia, release parcial y pausa. Todo lo que no acerque a esas cuatro piezas queda fuera.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9E0"/>
          <w:left w:val="single" w:sz="6" w:space="0" w:color="D1D9E0"/>
          <w:bottom w:val="single" w:sz="6" w:space="0" w:color="D1D9E0"/>
          <w:right w:val="single" w:sz="6" w:space="0" w:color="D1D9E0"/>
          <w:insideH w:val="single" w:sz="6" w:space="0" w:color="D1D9E0"/>
          <w:insideV w:val="single" w:sz="6" w:space="0" w:color="D1D9E0"/>
        </w:tblBorders>
      </w:tblPr>
      <w:tblGrid>
        <w:gridCol w:w="9648"/>
      </w:tblGrid>
      <w:tr>
        <w:tc>
          <w:tcPr>
            <w:tcW w:type="dxa" w:w="10080"/>
            <w:shd w:fill="EAF4F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 w:lineRule="auto" w:line="276"/>
            </w:pPr>
            <w:r>
              <w:rPr>
                <w:rFonts w:ascii="Calibri" w:hAnsi="Calibri"/>
                <w:b w:val="0"/>
                <w:i w:val="0"/>
                <w:color w:val="232B33"/>
                <w:sz w:val="20"/>
              </w:rPr>
              <w:t>Naming recomendado: GrantFlow Stellar. Tagline sugerido: “Grants programables y transparentes en Stellar”.</w:t>
            </w:r>
          </w:p>
        </w:tc>
      </w:tr>
    </w:tbl>
    <w:p>
      <w:pPr>
        <w:pStyle w:val="SmallMuted"/>
        <w:spacing w:after="0" w:before="40" w:lineRule="auto" w:line="240"/>
      </w:pPr>
      <w:r>
        <w:rPr>
          <w:rFonts w:ascii="Calibri" w:hAnsi="Calibri"/>
          <w:color w:val="5B6673"/>
          <w:sz w:val="16"/>
        </w:rPr>
        <w:t>Fuentes: DoraHacks — Stellar Track; Guía comunitaria Buen Día Builders / CuyoConnect; Stellar Docs — Soroban, Wallet integration, fee-bump transactions, claimable balances y SEPs.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Rule="auto" w:line="240"/>
      <w:jc w:val="right"/>
    </w:pPr>
    <w:r>
      <w:rPr>
        <w:rFonts w:ascii="Calibri" w:hAnsi="Calibri"/>
        <w:b w:val="0"/>
        <w:i w:val="0"/>
        <w:color w:val="5B6673"/>
        <w:sz w:val="17"/>
      </w:rPr>
      <w:t>GrantFlow Stellar • Documento funcional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3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40" w:line="276" w:lineRule="auto"/>
    </w:pPr>
    <w:rPr>
      <w:rFonts w:ascii="Calibri" w:hAnsi="Calibri"/>
      <w:b/>
      <w:color w:val="124A86"/>
      <w:sz w:val="48"/>
    </w:rPr>
  </w:style>
  <w:style w:type="paragraph" w:customStyle="1" w:styleId="SubtitleCustom">
    <w:name w:val="SubtitleCustom"/>
    <w:basedOn w:val="Normal"/>
    <w:pPr>
      <w:spacing w:before="0" w:after="200" w:line="276" w:lineRule="auto"/>
    </w:pPr>
    <w:rPr>
      <w:rFonts w:ascii="Calibri" w:hAnsi="Calibri"/>
      <w:b w:val="0"/>
      <w:color w:val="5B6673"/>
      <w:sz w:val="23"/>
    </w:rPr>
  </w:style>
  <w:style w:type="paragraph" w:customStyle="1" w:styleId="SectionTitle">
    <w:name w:val="SectionTitle"/>
    <w:basedOn w:val="Normal"/>
    <w:pPr>
      <w:spacing w:before="200" w:after="80" w:line="276" w:lineRule="auto"/>
    </w:pPr>
    <w:rPr>
      <w:rFonts w:ascii="Calibri" w:hAnsi="Calibri"/>
      <w:b/>
      <w:color w:val="124A86"/>
      <w:sz w:val="31"/>
    </w:rPr>
  </w:style>
  <w:style w:type="paragraph" w:customStyle="1" w:styleId="SubsectionTitle">
    <w:name w:val="SubsectionTitle"/>
    <w:basedOn w:val="Normal"/>
    <w:pPr>
      <w:spacing w:before="160" w:after="60" w:line="276" w:lineRule="auto"/>
    </w:pPr>
    <w:rPr>
      <w:rFonts w:ascii="Calibri" w:hAnsi="Calibri"/>
      <w:b/>
      <w:color w:val="0B6E99"/>
      <w:sz w:val="25"/>
    </w:rPr>
  </w:style>
  <w:style w:type="paragraph" w:customStyle="1" w:styleId="SmallMuted">
    <w:name w:val="SmallMuted"/>
    <w:basedOn w:val="Normal"/>
    <w:pPr>
      <w:spacing w:before="0" w:after="60" w:line="276" w:lineRule="auto"/>
    </w:pPr>
    <w:rPr>
      <w:rFonts w:ascii="Calibri" w:hAnsi="Calibri"/>
      <w:b w:val="0"/>
      <w:color w:val="5B6673"/>
      <w:sz w:val="18"/>
    </w:rPr>
  </w:style>
  <w:style w:type="paragraph" w:customStyle="1" w:styleId="Lead">
    <w:name w:val="Lead"/>
    <w:basedOn w:val="Normal"/>
    <w:pPr>
      <w:spacing w:before="0" w:after="160" w:line="276" w:lineRule="auto"/>
    </w:pPr>
    <w:rPr>
      <w:rFonts w:ascii="Calibri" w:hAnsi="Calibri"/>
      <w:b w:val="0"/>
      <w:color w:val="232B33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