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F44" w:rsidRPr="006527D3" w:rsidRDefault="00373F44" w:rsidP="00A5152C">
      <w:pPr>
        <w:pStyle w:val="a3"/>
        <w:spacing w:line="480" w:lineRule="auto"/>
        <w:jc w:val="center"/>
        <w:rPr>
          <w:rFonts w:ascii="Times New Roman" w:hAnsi="Times New Roman" w:cs="Times New Roman"/>
          <w:b/>
          <w:sz w:val="24"/>
        </w:rPr>
      </w:pPr>
      <w:r w:rsidRPr="006527D3">
        <w:rPr>
          <w:rFonts w:ascii="Times New Roman" w:hAnsi="Times New Roman" w:cs="Times New Roman"/>
          <w:b/>
          <w:sz w:val="24"/>
        </w:rPr>
        <w:t xml:space="preserve">Prediction of Alzheimer's disease using blood gene expression data </w:t>
      </w:r>
    </w:p>
    <w:p w:rsidR="00373F44" w:rsidRPr="006527D3" w:rsidRDefault="00373F44" w:rsidP="00A5152C">
      <w:pPr>
        <w:pStyle w:val="a3"/>
        <w:spacing w:line="480" w:lineRule="auto"/>
        <w:jc w:val="center"/>
        <w:rPr>
          <w:rFonts w:ascii="Times New Roman" w:hAnsi="Times New Roman" w:cs="Times New Roman"/>
          <w:b/>
          <w:sz w:val="24"/>
        </w:rPr>
      </w:pPr>
      <w:r w:rsidRPr="006527D3">
        <w:rPr>
          <w:rFonts w:ascii="Times New Roman" w:hAnsi="Times New Roman" w:cs="Times New Roman"/>
          <w:b/>
          <w:sz w:val="24"/>
        </w:rPr>
        <w:t xml:space="preserve">(Supplementary </w:t>
      </w:r>
      <w:r>
        <w:rPr>
          <w:rFonts w:ascii="Times New Roman" w:hAnsi="Times New Roman" w:cs="Times New Roman" w:hint="eastAsia"/>
          <w:b/>
          <w:sz w:val="24"/>
        </w:rPr>
        <w:t>F</w:t>
      </w:r>
      <w:r w:rsidRPr="006527D3">
        <w:rPr>
          <w:rFonts w:ascii="Times New Roman" w:hAnsi="Times New Roman" w:cs="Times New Roman"/>
          <w:b/>
          <w:sz w:val="24"/>
        </w:rPr>
        <w:t>ile)</w:t>
      </w:r>
    </w:p>
    <w:p w:rsidR="005A0066" w:rsidRPr="003B308F" w:rsidRDefault="005A0066" w:rsidP="005A0066">
      <w:pPr>
        <w:pStyle w:val="a3"/>
        <w:spacing w:line="480" w:lineRule="auto"/>
        <w:jc w:val="center"/>
        <w:rPr>
          <w:rFonts w:ascii="Times New Roman" w:hAnsi="Times New Roman" w:cs="Times New Roman"/>
          <w:sz w:val="22"/>
        </w:rPr>
      </w:pPr>
      <w:r w:rsidRPr="003B308F">
        <w:rPr>
          <w:rFonts w:ascii="Times New Roman" w:hAnsi="Times New Roman" w:cs="Times New Roman" w:hint="eastAsia"/>
          <w:sz w:val="22"/>
        </w:rPr>
        <w:t>Taesic Lee</w:t>
      </w:r>
      <w:r w:rsidRPr="003B308F">
        <w:rPr>
          <w:rFonts w:ascii="Times New Roman" w:hAnsi="Times New Roman" w:cs="Times New Roman"/>
          <w:sz w:val="22"/>
          <w:vertAlign w:val="superscript"/>
        </w:rPr>
        <w:t>a</w:t>
      </w:r>
      <w:r w:rsidRPr="003B308F">
        <w:rPr>
          <w:rFonts w:ascii="Times New Roman" w:hAnsi="Times New Roman" w:cs="Times New Roman" w:hint="eastAsia"/>
          <w:sz w:val="22"/>
        </w:rPr>
        <w:t>, Hyunju Lee</w:t>
      </w:r>
      <w:r w:rsidRPr="003B308F">
        <w:rPr>
          <w:rFonts w:ascii="Times New Roman" w:hAnsi="Times New Roman" w:cs="Times New Roman"/>
          <w:sz w:val="22"/>
          <w:vertAlign w:val="superscript"/>
        </w:rPr>
        <w:t>a,b,</w:t>
      </w:r>
      <w:r>
        <w:rPr>
          <w:rFonts w:ascii="Times New Roman" w:hAnsi="Times New Roman" w:cs="Times New Roman" w:hint="eastAsia"/>
          <w:sz w:val="22"/>
          <w:vertAlign w:val="superscript"/>
        </w:rPr>
        <w:t>c</w:t>
      </w:r>
      <w:r>
        <w:rPr>
          <w:rFonts w:ascii="Times New Roman" w:hAnsi="Times New Roman" w:cs="Times New Roman"/>
          <w:sz w:val="22"/>
          <w:vertAlign w:val="superscript"/>
        </w:rPr>
        <w:t xml:space="preserve">. </w:t>
      </w:r>
      <w:r w:rsidRPr="003B308F">
        <w:rPr>
          <w:rFonts w:ascii="Times New Roman" w:hAnsi="Times New Roman" w:cs="Times New Roman"/>
          <w:sz w:val="22"/>
        </w:rPr>
        <w:t>*</w:t>
      </w:r>
    </w:p>
    <w:p w:rsidR="005A0066" w:rsidRDefault="005A0066" w:rsidP="005A0066">
      <w:pPr>
        <w:pStyle w:val="a3"/>
        <w:spacing w:line="480" w:lineRule="auto"/>
        <w:jc w:val="center"/>
        <w:rPr>
          <w:rFonts w:ascii="Times New Roman" w:hAnsi="Times New Roman" w:cs="Times New Roman"/>
          <w:sz w:val="22"/>
        </w:rPr>
      </w:pPr>
      <w:r w:rsidRPr="003B308F">
        <w:rPr>
          <w:rFonts w:ascii="Times New Roman" w:hAnsi="Times New Roman" w:cs="Times New Roman" w:hint="eastAsia"/>
          <w:sz w:val="22"/>
          <w:vertAlign w:val="superscript"/>
        </w:rPr>
        <w:t>a</w:t>
      </w:r>
      <w:r>
        <w:rPr>
          <w:rFonts w:ascii="Times New Roman" w:hAnsi="Times New Roman" w:cs="Times New Roman"/>
          <w:sz w:val="22"/>
          <w:vertAlign w:val="superscript"/>
        </w:rPr>
        <w:t xml:space="preserve"> </w:t>
      </w:r>
      <w:r w:rsidRPr="003B308F">
        <w:rPr>
          <w:rFonts w:ascii="Times New Roman" w:hAnsi="Times New Roman" w:cs="Times New Roman"/>
          <w:sz w:val="22"/>
        </w:rPr>
        <w:t>Department of Biomedical Science and Engineering, Gwangju Institute of Science and Technology, Gwangju, South Korea.</w:t>
      </w:r>
    </w:p>
    <w:p w:rsidR="005A0066" w:rsidRPr="003B308F" w:rsidRDefault="005A0066" w:rsidP="005A0066">
      <w:pPr>
        <w:pStyle w:val="a3"/>
        <w:spacing w:line="480" w:lineRule="auto"/>
        <w:jc w:val="center"/>
        <w:rPr>
          <w:rFonts w:ascii="Times New Roman" w:hAnsi="Times New Roman" w:cs="Times New Roman"/>
          <w:sz w:val="22"/>
        </w:rPr>
      </w:pPr>
      <w:r w:rsidRPr="003B308F">
        <w:rPr>
          <w:rFonts w:ascii="Times New Roman" w:hAnsi="Times New Roman" w:cs="Times New Roman" w:hint="eastAsia"/>
          <w:sz w:val="22"/>
          <w:vertAlign w:val="superscript"/>
        </w:rPr>
        <w:t>b</w:t>
      </w:r>
      <w:r>
        <w:rPr>
          <w:rFonts w:ascii="Times New Roman" w:hAnsi="Times New Roman" w:cs="Times New Roman"/>
          <w:sz w:val="22"/>
          <w:vertAlign w:val="superscript"/>
        </w:rPr>
        <w:t xml:space="preserve"> </w:t>
      </w:r>
      <w:r>
        <w:rPr>
          <w:rFonts w:ascii="Times New Roman" w:hAnsi="Times New Roman" w:cs="Times New Roman"/>
          <w:sz w:val="22"/>
        </w:rPr>
        <w:t>Artificial Intelligence Graduate S</w:t>
      </w:r>
      <w:r w:rsidRPr="003B308F">
        <w:rPr>
          <w:rFonts w:ascii="Times New Roman" w:hAnsi="Times New Roman" w:cs="Times New Roman"/>
          <w:sz w:val="22"/>
        </w:rPr>
        <w:t>chool, Gwangju Institute of Science and Technology, Gwangju, South Korea.</w:t>
      </w:r>
    </w:p>
    <w:p w:rsidR="005A0066" w:rsidRPr="003B308F" w:rsidRDefault="005A0066" w:rsidP="005A0066">
      <w:pPr>
        <w:pStyle w:val="a3"/>
        <w:spacing w:line="480" w:lineRule="auto"/>
        <w:jc w:val="center"/>
        <w:rPr>
          <w:rFonts w:ascii="Times New Roman" w:hAnsi="Times New Roman" w:cs="Times New Roman"/>
          <w:sz w:val="22"/>
        </w:rPr>
      </w:pPr>
      <w:r>
        <w:rPr>
          <w:rFonts w:ascii="Times New Roman" w:hAnsi="Times New Roman" w:cs="Times New Roman"/>
          <w:sz w:val="22"/>
          <w:vertAlign w:val="superscript"/>
        </w:rPr>
        <w:t xml:space="preserve">c </w:t>
      </w:r>
      <w:r w:rsidRPr="003B308F">
        <w:rPr>
          <w:rFonts w:ascii="Times New Roman" w:hAnsi="Times New Roman" w:cs="Times New Roman"/>
          <w:sz w:val="22"/>
        </w:rPr>
        <w:t>School of Electrical Engineering and Computer Science, Gwangju Institute of Science and Technology, Gwangju, South Korea.</w:t>
      </w:r>
    </w:p>
    <w:p w:rsidR="00373F44" w:rsidRPr="005A0066" w:rsidRDefault="00373F44" w:rsidP="00A5152C">
      <w:pPr>
        <w:pStyle w:val="a3"/>
        <w:spacing w:line="480" w:lineRule="auto"/>
        <w:rPr>
          <w:rFonts w:ascii="Times New Roman" w:hAnsi="Times New Roman" w:cs="Times New Roman"/>
          <w:sz w:val="22"/>
        </w:rPr>
      </w:pPr>
    </w:p>
    <w:p w:rsidR="00373F44" w:rsidRPr="006527D3" w:rsidRDefault="00373F44" w:rsidP="00A5152C">
      <w:pPr>
        <w:pStyle w:val="a3"/>
        <w:spacing w:line="480" w:lineRule="auto"/>
        <w:rPr>
          <w:rFonts w:ascii="Times New Roman" w:hAnsi="Times New Roman" w:cs="Times New Roman"/>
          <w:sz w:val="22"/>
        </w:rPr>
      </w:pPr>
    </w:p>
    <w:p w:rsidR="00373F44" w:rsidRPr="006527D3" w:rsidRDefault="00373F44" w:rsidP="00A5152C">
      <w:pPr>
        <w:pStyle w:val="a3"/>
        <w:spacing w:line="480" w:lineRule="auto"/>
        <w:rPr>
          <w:rFonts w:ascii="Times New Roman" w:hAnsi="Times New Roman" w:cs="Times New Roman"/>
          <w:sz w:val="22"/>
        </w:rPr>
      </w:pPr>
    </w:p>
    <w:p w:rsidR="00373F44" w:rsidRPr="006527D3" w:rsidRDefault="00373F44" w:rsidP="00A5152C">
      <w:pPr>
        <w:pStyle w:val="a3"/>
        <w:spacing w:line="480" w:lineRule="auto"/>
        <w:rPr>
          <w:rFonts w:ascii="Times New Roman" w:hAnsi="Times New Roman" w:cs="Times New Roman"/>
          <w:sz w:val="22"/>
        </w:rPr>
      </w:pPr>
    </w:p>
    <w:p w:rsidR="00373F44" w:rsidRPr="006527D3" w:rsidRDefault="00373F44" w:rsidP="00A5152C">
      <w:pPr>
        <w:pStyle w:val="a3"/>
        <w:spacing w:line="480" w:lineRule="auto"/>
        <w:rPr>
          <w:rFonts w:ascii="Times New Roman" w:hAnsi="Times New Roman" w:cs="Times New Roman"/>
          <w:sz w:val="22"/>
        </w:rPr>
      </w:pPr>
    </w:p>
    <w:p w:rsidR="00373F44" w:rsidRPr="006527D3" w:rsidRDefault="00373F44" w:rsidP="00A5152C">
      <w:pPr>
        <w:pStyle w:val="a3"/>
        <w:spacing w:line="480" w:lineRule="auto"/>
        <w:rPr>
          <w:rFonts w:ascii="Times New Roman" w:hAnsi="Times New Roman" w:cs="Times New Roman"/>
          <w:sz w:val="22"/>
        </w:rPr>
      </w:pPr>
    </w:p>
    <w:p w:rsidR="00373F44" w:rsidRPr="006527D3" w:rsidRDefault="00373F44" w:rsidP="00A5152C">
      <w:pPr>
        <w:pStyle w:val="a3"/>
        <w:spacing w:line="480" w:lineRule="auto"/>
        <w:rPr>
          <w:rFonts w:ascii="Times New Roman" w:hAnsi="Times New Roman" w:cs="Times New Roman"/>
          <w:sz w:val="22"/>
        </w:rPr>
      </w:pPr>
    </w:p>
    <w:p w:rsidR="00373F44" w:rsidRPr="006527D3" w:rsidRDefault="00373F44" w:rsidP="00A5152C">
      <w:pPr>
        <w:pStyle w:val="a3"/>
        <w:spacing w:line="480" w:lineRule="auto"/>
        <w:rPr>
          <w:rFonts w:ascii="Times New Roman" w:hAnsi="Times New Roman" w:cs="Times New Roman"/>
          <w:sz w:val="22"/>
        </w:rPr>
      </w:pPr>
    </w:p>
    <w:p w:rsidR="002745D6" w:rsidRPr="00D16163" w:rsidRDefault="002745D6" w:rsidP="002745D6">
      <w:pPr>
        <w:pStyle w:val="a3"/>
        <w:spacing w:line="480" w:lineRule="auto"/>
        <w:rPr>
          <w:rFonts w:ascii="Times New Roman" w:hAnsi="Times New Roman" w:cs="Times New Roman"/>
          <w:b/>
          <w:sz w:val="22"/>
        </w:rPr>
      </w:pPr>
      <w:r w:rsidRPr="00D16163">
        <w:rPr>
          <w:rFonts w:ascii="Times New Roman" w:hAnsi="Times New Roman" w:cs="Times New Roman"/>
          <w:b/>
          <w:sz w:val="22"/>
        </w:rPr>
        <w:t>*Corresponding author</w:t>
      </w:r>
    </w:p>
    <w:p w:rsidR="002745D6" w:rsidRPr="003B308F" w:rsidRDefault="002745D6" w:rsidP="002745D6">
      <w:pPr>
        <w:pStyle w:val="a3"/>
        <w:spacing w:line="480" w:lineRule="auto"/>
        <w:rPr>
          <w:rFonts w:ascii="Times New Roman" w:hAnsi="Times New Roman" w:cs="Times New Roman"/>
          <w:sz w:val="22"/>
        </w:rPr>
      </w:pPr>
      <w:r w:rsidRPr="003B308F">
        <w:rPr>
          <w:rFonts w:ascii="Times New Roman" w:hAnsi="Times New Roman" w:cs="Times New Roman"/>
          <w:sz w:val="22"/>
        </w:rPr>
        <w:t>Hyunju Lee, PhD</w:t>
      </w:r>
    </w:p>
    <w:p w:rsidR="002745D6" w:rsidRDefault="002745D6" w:rsidP="002745D6">
      <w:pPr>
        <w:pStyle w:val="a3"/>
        <w:spacing w:line="480" w:lineRule="auto"/>
        <w:rPr>
          <w:rFonts w:ascii="Times New Roman" w:hAnsi="Times New Roman" w:cs="Times New Roman"/>
          <w:sz w:val="22"/>
        </w:rPr>
      </w:pPr>
      <w:r w:rsidRPr="003B308F">
        <w:rPr>
          <w:rFonts w:ascii="Times New Roman" w:hAnsi="Times New Roman" w:cs="Times New Roman"/>
          <w:sz w:val="22"/>
        </w:rPr>
        <w:t>Professor, School of Electrical E</w:t>
      </w:r>
      <w:r>
        <w:rPr>
          <w:rFonts w:ascii="Times New Roman" w:hAnsi="Times New Roman" w:cs="Times New Roman"/>
          <w:sz w:val="22"/>
        </w:rPr>
        <w:t>ngineering and Computer Science</w:t>
      </w:r>
    </w:p>
    <w:p w:rsidR="002745D6" w:rsidRPr="003B308F" w:rsidRDefault="002745D6" w:rsidP="002745D6">
      <w:pPr>
        <w:pStyle w:val="a3"/>
        <w:spacing w:line="480" w:lineRule="auto"/>
        <w:rPr>
          <w:rFonts w:ascii="Times New Roman" w:hAnsi="Times New Roman" w:cs="Times New Roman"/>
          <w:sz w:val="22"/>
        </w:rPr>
      </w:pPr>
      <w:r>
        <w:rPr>
          <w:rFonts w:ascii="Times New Roman" w:hAnsi="Times New Roman" w:cs="Times New Roman"/>
          <w:sz w:val="22"/>
        </w:rPr>
        <w:t>Professor, Artificial Intelligence Graduate S</w:t>
      </w:r>
      <w:r w:rsidRPr="003B308F">
        <w:rPr>
          <w:rFonts w:ascii="Times New Roman" w:hAnsi="Times New Roman" w:cs="Times New Roman"/>
          <w:sz w:val="22"/>
        </w:rPr>
        <w:t>chool</w:t>
      </w:r>
    </w:p>
    <w:p w:rsidR="002745D6" w:rsidRPr="003B308F" w:rsidRDefault="002745D6" w:rsidP="002745D6">
      <w:pPr>
        <w:pStyle w:val="a3"/>
        <w:spacing w:line="480" w:lineRule="auto"/>
        <w:rPr>
          <w:rFonts w:ascii="Times New Roman" w:hAnsi="Times New Roman" w:cs="Times New Roman"/>
          <w:sz w:val="22"/>
        </w:rPr>
      </w:pPr>
      <w:r w:rsidRPr="003B308F">
        <w:rPr>
          <w:rFonts w:ascii="Times New Roman" w:hAnsi="Times New Roman" w:cs="Times New Roman"/>
          <w:sz w:val="22"/>
        </w:rPr>
        <w:t>Gwangju institute of science and technology</w:t>
      </w:r>
    </w:p>
    <w:p w:rsidR="002745D6" w:rsidRPr="003B308F" w:rsidRDefault="002745D6" w:rsidP="002745D6">
      <w:pPr>
        <w:pStyle w:val="a3"/>
        <w:spacing w:line="480" w:lineRule="auto"/>
        <w:rPr>
          <w:rFonts w:ascii="Times New Roman" w:hAnsi="Times New Roman" w:cs="Times New Roman"/>
          <w:sz w:val="22"/>
        </w:rPr>
      </w:pPr>
      <w:r w:rsidRPr="003B308F">
        <w:rPr>
          <w:rFonts w:ascii="Times New Roman" w:hAnsi="Times New Roman" w:cs="Times New Roman"/>
          <w:sz w:val="22"/>
        </w:rPr>
        <w:t xml:space="preserve">123 </w:t>
      </w:r>
      <w:proofErr w:type="spellStart"/>
      <w:r w:rsidRPr="003B308F">
        <w:rPr>
          <w:rFonts w:ascii="Times New Roman" w:hAnsi="Times New Roman" w:cs="Times New Roman"/>
          <w:sz w:val="22"/>
        </w:rPr>
        <w:t>Chemdangwagi-ro</w:t>
      </w:r>
      <w:proofErr w:type="spellEnd"/>
      <w:r w:rsidRPr="003B308F">
        <w:rPr>
          <w:rFonts w:ascii="Times New Roman" w:hAnsi="Times New Roman" w:cs="Times New Roman"/>
          <w:sz w:val="22"/>
        </w:rPr>
        <w:t>, Gwangju, Korea</w:t>
      </w:r>
    </w:p>
    <w:p w:rsidR="002745D6" w:rsidRPr="003B308F" w:rsidRDefault="002745D6" w:rsidP="002745D6">
      <w:pPr>
        <w:pStyle w:val="a3"/>
        <w:spacing w:line="480" w:lineRule="auto"/>
        <w:rPr>
          <w:rFonts w:ascii="Times New Roman" w:hAnsi="Times New Roman" w:cs="Times New Roman"/>
          <w:sz w:val="22"/>
        </w:rPr>
      </w:pPr>
      <w:r w:rsidRPr="003B308F">
        <w:rPr>
          <w:rFonts w:ascii="Times New Roman" w:hAnsi="Times New Roman" w:cs="Times New Roman"/>
          <w:sz w:val="22"/>
        </w:rPr>
        <w:t>Postal zip-code: 61005</w:t>
      </w:r>
    </w:p>
    <w:p w:rsidR="002745D6" w:rsidRPr="003B308F" w:rsidRDefault="002745D6" w:rsidP="002745D6">
      <w:pPr>
        <w:pStyle w:val="a3"/>
        <w:spacing w:line="480" w:lineRule="auto"/>
        <w:rPr>
          <w:rFonts w:ascii="Times New Roman" w:hAnsi="Times New Roman" w:cs="Times New Roman"/>
          <w:sz w:val="22"/>
        </w:rPr>
      </w:pPr>
      <w:r w:rsidRPr="003B308F">
        <w:rPr>
          <w:rFonts w:ascii="Times New Roman" w:hAnsi="Times New Roman" w:cs="Times New Roman"/>
          <w:sz w:val="22"/>
        </w:rPr>
        <w:t>Tel: (+82) 62-725-2213; Fax: (+82) 62-715-2204</w:t>
      </w:r>
    </w:p>
    <w:p w:rsidR="002745D6" w:rsidRPr="003B308F" w:rsidRDefault="002745D6" w:rsidP="002745D6">
      <w:pPr>
        <w:pStyle w:val="a3"/>
        <w:spacing w:line="480" w:lineRule="auto"/>
        <w:rPr>
          <w:rStyle w:val="a4"/>
          <w:rFonts w:ascii="Times New Roman" w:hAnsi="Times New Roman" w:cs="Times New Roman"/>
          <w:color w:val="auto"/>
          <w:sz w:val="22"/>
        </w:rPr>
      </w:pPr>
      <w:r w:rsidRPr="003B308F">
        <w:rPr>
          <w:rFonts w:ascii="Times New Roman" w:hAnsi="Times New Roman" w:cs="Times New Roman"/>
          <w:sz w:val="22"/>
        </w:rPr>
        <w:t xml:space="preserve">E-mail: </w:t>
      </w:r>
      <w:hyperlink r:id="rId8" w:history="1">
        <w:r w:rsidRPr="00636606">
          <w:rPr>
            <w:rStyle w:val="a4"/>
            <w:rFonts w:ascii="Times New Roman" w:hAnsi="Times New Roman" w:cs="Times New Roman"/>
            <w:sz w:val="22"/>
          </w:rPr>
          <w:t>hyunjulee@gist.ac.kr</w:t>
        </w:r>
      </w:hyperlink>
    </w:p>
    <w:p w:rsidR="00DA1CE2" w:rsidRDefault="00DA1CE2" w:rsidP="00005C0F">
      <w:pPr>
        <w:pStyle w:val="a3"/>
        <w:spacing w:line="360" w:lineRule="auto"/>
        <w:rPr>
          <w:rFonts w:ascii="Times New Roman" w:hAnsi="Times New Roman"/>
          <w:b/>
          <w:sz w:val="24"/>
        </w:rPr>
      </w:pPr>
    </w:p>
    <w:p w:rsidR="00373F44" w:rsidRPr="006527D3" w:rsidRDefault="00373F44" w:rsidP="00005C0F">
      <w:pPr>
        <w:pStyle w:val="a3"/>
        <w:spacing w:line="360" w:lineRule="auto"/>
        <w:rPr>
          <w:rFonts w:ascii="Times New Roman" w:hAnsi="Times New Roman"/>
          <w:b/>
          <w:sz w:val="24"/>
        </w:rPr>
      </w:pPr>
      <w:r w:rsidRPr="006527D3">
        <w:rPr>
          <w:rFonts w:ascii="Times New Roman" w:hAnsi="Times New Roman"/>
          <w:b/>
          <w:sz w:val="24"/>
        </w:rPr>
        <w:lastRenderedPageBreak/>
        <w:t>Supplementary Tables</w:t>
      </w:r>
    </w:p>
    <w:p w:rsidR="00373F44" w:rsidRPr="006527D3" w:rsidRDefault="00373F44" w:rsidP="00005C0F">
      <w:pPr>
        <w:pStyle w:val="a3"/>
        <w:spacing w:line="360" w:lineRule="auto"/>
        <w:rPr>
          <w:rFonts w:ascii="Times New Roman" w:hAnsi="Times New Roman"/>
          <w:sz w:val="22"/>
        </w:rPr>
      </w:pPr>
      <w:r w:rsidRPr="006527D3">
        <w:rPr>
          <w:rFonts w:ascii="Times New Roman" w:hAnsi="Times New Roman"/>
          <w:b/>
          <w:sz w:val="22"/>
        </w:rPr>
        <w:t>Supplementary Table 1:</w:t>
      </w:r>
      <w:r w:rsidRPr="006527D3">
        <w:rPr>
          <w:rFonts w:ascii="Times New Roman" w:hAnsi="Times New Roman"/>
          <w:sz w:val="22"/>
        </w:rPr>
        <w:t xml:space="preserve"> Transcription factor-related genes</w:t>
      </w:r>
    </w:p>
    <w:p w:rsidR="00373F44" w:rsidRPr="006527D3" w:rsidRDefault="00373F44" w:rsidP="00005C0F">
      <w:pPr>
        <w:pStyle w:val="a3"/>
        <w:spacing w:line="360" w:lineRule="auto"/>
        <w:rPr>
          <w:rFonts w:ascii="Times New Roman" w:hAnsi="Times New Roman"/>
          <w:sz w:val="22"/>
        </w:rPr>
      </w:pPr>
      <w:r w:rsidRPr="006527D3">
        <w:rPr>
          <w:rFonts w:ascii="Times New Roman" w:hAnsi="Times New Roman"/>
          <w:b/>
          <w:sz w:val="22"/>
        </w:rPr>
        <w:t>Supplementary Table 2:</w:t>
      </w:r>
      <w:r w:rsidRPr="006527D3">
        <w:rPr>
          <w:rFonts w:ascii="Times New Roman" w:hAnsi="Times New Roman"/>
          <w:sz w:val="22"/>
        </w:rPr>
        <w:t xml:space="preserve"> </w:t>
      </w:r>
      <w:r w:rsidRPr="006527D3">
        <w:rPr>
          <w:rFonts w:ascii="Times New Roman" w:hAnsi="Times New Roman" w:hint="eastAsia"/>
          <w:sz w:val="22"/>
        </w:rPr>
        <w:t>A</w:t>
      </w:r>
      <w:r w:rsidRPr="006527D3">
        <w:rPr>
          <w:rFonts w:ascii="Times New Roman" w:hAnsi="Times New Roman"/>
          <w:sz w:val="22"/>
        </w:rPr>
        <w:t xml:space="preserve"> </w:t>
      </w:r>
      <w:r w:rsidRPr="006527D3">
        <w:rPr>
          <w:rFonts w:ascii="Times New Roman" w:hAnsi="Times New Roman" w:hint="eastAsia"/>
          <w:sz w:val="22"/>
        </w:rPr>
        <w:t>l</w:t>
      </w:r>
      <w:r w:rsidRPr="006527D3">
        <w:rPr>
          <w:rFonts w:ascii="Times New Roman" w:hAnsi="Times New Roman"/>
          <w:sz w:val="22"/>
        </w:rPr>
        <w:t xml:space="preserve">ist of differentially expressed genes with </w:t>
      </w:r>
      <w:r w:rsidRPr="006527D3">
        <w:rPr>
          <w:rFonts w:ascii="Times New Roman" w:hAnsi="Times New Roman" w:hint="eastAsia"/>
          <w:sz w:val="22"/>
        </w:rPr>
        <w:t>c</w:t>
      </w:r>
      <w:r w:rsidRPr="006527D3">
        <w:rPr>
          <w:rFonts w:ascii="Times New Roman" w:hAnsi="Times New Roman"/>
          <w:sz w:val="22"/>
        </w:rPr>
        <w:t xml:space="preserve">onvergent </w:t>
      </w:r>
      <w:r w:rsidRPr="006527D3">
        <w:rPr>
          <w:rFonts w:ascii="Times New Roman" w:hAnsi="Times New Roman" w:hint="eastAsia"/>
          <w:sz w:val="22"/>
        </w:rPr>
        <w:t>f</w:t>
      </w:r>
      <w:r w:rsidRPr="006527D3">
        <w:rPr>
          <w:rFonts w:ascii="Times New Roman" w:hAnsi="Times New Roman"/>
          <w:sz w:val="22"/>
        </w:rPr>
        <w:t xml:space="preserve">unctional </w:t>
      </w:r>
      <w:r w:rsidRPr="006527D3">
        <w:rPr>
          <w:rFonts w:ascii="Times New Roman" w:hAnsi="Times New Roman" w:hint="eastAsia"/>
          <w:sz w:val="22"/>
        </w:rPr>
        <w:t>g</w:t>
      </w:r>
      <w:r w:rsidRPr="006527D3">
        <w:rPr>
          <w:rFonts w:ascii="Times New Roman" w:hAnsi="Times New Roman"/>
          <w:sz w:val="22"/>
        </w:rPr>
        <w:t>enomics score for ADNI</w:t>
      </w:r>
    </w:p>
    <w:p w:rsidR="00373F44" w:rsidRPr="006527D3" w:rsidRDefault="00373F44" w:rsidP="00005C0F">
      <w:pPr>
        <w:pStyle w:val="a3"/>
        <w:numPr>
          <w:ilvl w:val="0"/>
          <w:numId w:val="4"/>
        </w:numPr>
        <w:spacing w:line="360" w:lineRule="auto"/>
        <w:rPr>
          <w:rFonts w:ascii="Times New Roman" w:hAnsi="Times New Roman"/>
          <w:sz w:val="22"/>
        </w:rPr>
      </w:pPr>
      <w:r w:rsidRPr="006527D3">
        <w:rPr>
          <w:rFonts w:ascii="Times New Roman" w:hAnsi="Times New Roman"/>
          <w:sz w:val="22"/>
        </w:rPr>
        <w:t xml:space="preserve">The Score means the </w:t>
      </w:r>
      <w:r w:rsidRPr="006527D3">
        <w:rPr>
          <w:rFonts w:ascii="Times New Roman" w:hAnsi="Times New Roman"/>
          <w:i/>
          <w:sz w:val="22"/>
        </w:rPr>
        <w:t>T</w:t>
      </w:r>
      <w:r w:rsidRPr="006527D3">
        <w:rPr>
          <w:rFonts w:ascii="Times New Roman" w:hAnsi="Times New Roman"/>
          <w:sz w:val="22"/>
        </w:rPr>
        <w:t>-statistic value.</w:t>
      </w:r>
    </w:p>
    <w:p w:rsidR="00373F44" w:rsidRPr="006527D3" w:rsidRDefault="00373F44" w:rsidP="00005C0F">
      <w:pPr>
        <w:pStyle w:val="a3"/>
        <w:numPr>
          <w:ilvl w:val="0"/>
          <w:numId w:val="4"/>
        </w:numPr>
        <w:spacing w:line="360" w:lineRule="auto"/>
        <w:rPr>
          <w:rFonts w:ascii="Times New Roman" w:hAnsi="Times New Roman"/>
          <w:sz w:val="22"/>
        </w:rPr>
      </w:pPr>
      <w:r w:rsidRPr="006527D3">
        <w:rPr>
          <w:rFonts w:ascii="Times New Roman" w:hAnsi="Times New Roman"/>
          <w:sz w:val="22"/>
        </w:rPr>
        <w:t>The Numerator column is the mean difference for each gene.</w:t>
      </w:r>
    </w:p>
    <w:p w:rsidR="00373F44" w:rsidRPr="006527D3" w:rsidRDefault="00373F44" w:rsidP="00005C0F">
      <w:pPr>
        <w:pStyle w:val="a3"/>
        <w:numPr>
          <w:ilvl w:val="0"/>
          <w:numId w:val="4"/>
        </w:numPr>
        <w:spacing w:line="360" w:lineRule="auto"/>
        <w:rPr>
          <w:rFonts w:ascii="Times New Roman" w:hAnsi="Times New Roman"/>
          <w:sz w:val="22"/>
        </w:rPr>
      </w:pPr>
      <w:r w:rsidRPr="006527D3">
        <w:rPr>
          <w:rFonts w:ascii="Times New Roman" w:hAnsi="Times New Roman"/>
          <w:sz w:val="22"/>
        </w:rPr>
        <w:t>The Denominator means standard deviation for feature plus s0 (Computed exchangeability factor)</w:t>
      </w:r>
    </w:p>
    <w:p w:rsidR="00373F44" w:rsidRPr="006527D3" w:rsidRDefault="00373F44" w:rsidP="00005C0F">
      <w:pPr>
        <w:pStyle w:val="a3"/>
        <w:numPr>
          <w:ilvl w:val="0"/>
          <w:numId w:val="4"/>
        </w:numPr>
        <w:spacing w:line="360" w:lineRule="auto"/>
        <w:rPr>
          <w:rFonts w:ascii="Times New Roman" w:hAnsi="Times New Roman"/>
          <w:sz w:val="22"/>
        </w:rPr>
      </w:pPr>
      <w:proofErr w:type="spellStart"/>
      <w:r w:rsidRPr="006527D3">
        <w:rPr>
          <w:rFonts w:ascii="Times New Roman" w:hAnsi="Times New Roman"/>
          <w:sz w:val="22"/>
        </w:rPr>
        <w:t>eQTL</w:t>
      </w:r>
      <w:proofErr w:type="spellEnd"/>
      <w:r w:rsidRPr="006527D3">
        <w:rPr>
          <w:rFonts w:ascii="Times New Roman" w:hAnsi="Times New Roman"/>
          <w:sz w:val="22"/>
        </w:rPr>
        <w:t>: # of variants associated with each gene expression in the AD-related CFG database.</w:t>
      </w:r>
    </w:p>
    <w:p w:rsidR="00373F44" w:rsidRPr="006527D3" w:rsidRDefault="00373F44" w:rsidP="00005C0F">
      <w:pPr>
        <w:pStyle w:val="a3"/>
        <w:numPr>
          <w:ilvl w:val="0"/>
          <w:numId w:val="4"/>
        </w:numPr>
        <w:spacing w:line="360" w:lineRule="auto"/>
        <w:rPr>
          <w:rFonts w:ascii="Times New Roman" w:hAnsi="Times New Roman"/>
          <w:sz w:val="22"/>
        </w:rPr>
      </w:pPr>
      <w:r w:rsidRPr="006527D3">
        <w:rPr>
          <w:rFonts w:ascii="Times New Roman" w:hAnsi="Times New Roman"/>
          <w:sz w:val="22"/>
        </w:rPr>
        <w:t>GWAS: # of AD-related variants in the AD-related CFG database.</w:t>
      </w:r>
    </w:p>
    <w:p w:rsidR="00373F44" w:rsidRPr="006527D3" w:rsidRDefault="00373F44" w:rsidP="00005C0F">
      <w:pPr>
        <w:pStyle w:val="a3"/>
        <w:numPr>
          <w:ilvl w:val="0"/>
          <w:numId w:val="4"/>
        </w:numPr>
        <w:spacing w:line="360" w:lineRule="auto"/>
        <w:rPr>
          <w:rFonts w:ascii="Times New Roman" w:hAnsi="Times New Roman"/>
          <w:sz w:val="22"/>
        </w:rPr>
      </w:pPr>
      <w:r w:rsidRPr="006527D3">
        <w:rPr>
          <w:rFonts w:ascii="Times New Roman" w:hAnsi="Times New Roman"/>
          <w:sz w:val="22"/>
        </w:rPr>
        <w:t>PPI: AD-core genes physically interacting with each gene in the AD-related CFG database.</w:t>
      </w:r>
    </w:p>
    <w:p w:rsidR="00373F44" w:rsidRPr="006527D3" w:rsidRDefault="00373F44" w:rsidP="00005C0F">
      <w:pPr>
        <w:pStyle w:val="a3"/>
        <w:numPr>
          <w:ilvl w:val="0"/>
          <w:numId w:val="4"/>
        </w:numPr>
        <w:spacing w:line="360" w:lineRule="auto"/>
        <w:rPr>
          <w:rFonts w:ascii="Times New Roman" w:hAnsi="Times New Roman"/>
          <w:sz w:val="22"/>
        </w:rPr>
      </w:pPr>
      <w:proofErr w:type="spellStart"/>
      <w:r w:rsidRPr="006527D3">
        <w:rPr>
          <w:rFonts w:ascii="Times New Roman" w:hAnsi="Times New Roman"/>
          <w:sz w:val="22"/>
        </w:rPr>
        <w:t>Early_DEG</w:t>
      </w:r>
      <w:proofErr w:type="spellEnd"/>
      <w:r w:rsidRPr="006527D3">
        <w:rPr>
          <w:rFonts w:ascii="Times New Roman" w:hAnsi="Times New Roman"/>
          <w:sz w:val="22"/>
        </w:rPr>
        <w:t>: genes with early differential expression in AD mice (AD-related CFG database).</w:t>
      </w:r>
    </w:p>
    <w:p w:rsidR="00373F44" w:rsidRPr="006527D3" w:rsidRDefault="00373F44" w:rsidP="00005C0F">
      <w:pPr>
        <w:pStyle w:val="a3"/>
        <w:numPr>
          <w:ilvl w:val="0"/>
          <w:numId w:val="4"/>
        </w:numPr>
        <w:spacing w:line="360" w:lineRule="auto"/>
        <w:rPr>
          <w:rFonts w:ascii="Times New Roman" w:hAnsi="Times New Roman"/>
          <w:sz w:val="22"/>
        </w:rPr>
      </w:pPr>
      <w:proofErr w:type="gramStart"/>
      <w:r w:rsidRPr="006527D3">
        <w:rPr>
          <w:rFonts w:ascii="Times New Roman" w:hAnsi="Times New Roman"/>
          <w:sz w:val="22"/>
        </w:rPr>
        <w:t>Pathology.</w:t>
      </w:r>
      <w:proofErr w:type="spellStart"/>
      <w:r w:rsidRPr="006527D3">
        <w:rPr>
          <w:rFonts w:ascii="Times New Roman" w:hAnsi="Times New Roman"/>
          <w:sz w:val="22"/>
        </w:rPr>
        <w:t>cor</w:t>
      </w:r>
      <w:proofErr w:type="spellEnd"/>
      <w:r w:rsidRPr="006527D3">
        <w:rPr>
          <w:rFonts w:ascii="Times New Roman" w:hAnsi="Times New Roman"/>
          <w:sz w:val="22"/>
        </w:rPr>
        <w:t>..</w:t>
      </w:r>
      <w:proofErr w:type="spellStart"/>
      <w:proofErr w:type="gramEnd"/>
      <w:r w:rsidRPr="006527D3">
        <w:rPr>
          <w:rFonts w:ascii="Times New Roman" w:hAnsi="Times New Roman"/>
          <w:sz w:val="22"/>
        </w:rPr>
        <w:t>abeta</w:t>
      </w:r>
      <w:proofErr w:type="spellEnd"/>
      <w:r w:rsidRPr="006527D3">
        <w:rPr>
          <w:rFonts w:ascii="Times New Roman" w:hAnsi="Times New Roman"/>
          <w:sz w:val="22"/>
        </w:rPr>
        <w:t>./</w:t>
      </w:r>
      <w:r w:rsidRPr="006527D3">
        <w:rPr>
          <w:sz w:val="22"/>
        </w:rPr>
        <w:t xml:space="preserve"> </w:t>
      </w:r>
      <w:r w:rsidRPr="006527D3">
        <w:rPr>
          <w:rFonts w:ascii="Times New Roman" w:hAnsi="Times New Roman"/>
          <w:sz w:val="22"/>
        </w:rPr>
        <w:t>Pathology.</w:t>
      </w:r>
      <w:proofErr w:type="spellStart"/>
      <w:r w:rsidRPr="006527D3">
        <w:rPr>
          <w:rFonts w:ascii="Times New Roman" w:hAnsi="Times New Roman"/>
          <w:sz w:val="22"/>
        </w:rPr>
        <w:t>cor</w:t>
      </w:r>
      <w:proofErr w:type="spellEnd"/>
      <w:r w:rsidRPr="006527D3">
        <w:rPr>
          <w:rFonts w:ascii="Times New Roman" w:hAnsi="Times New Roman"/>
          <w:sz w:val="22"/>
        </w:rPr>
        <w:t>..tau.: genes correlating with AD pathology in AD mice (P &lt; 0.05) at the expression level</w:t>
      </w:r>
    </w:p>
    <w:p w:rsidR="00373F44" w:rsidRPr="006527D3" w:rsidRDefault="00373F44" w:rsidP="00005C0F">
      <w:pPr>
        <w:pStyle w:val="a3"/>
        <w:numPr>
          <w:ilvl w:val="0"/>
          <w:numId w:val="4"/>
        </w:numPr>
        <w:spacing w:line="360" w:lineRule="auto"/>
        <w:rPr>
          <w:rFonts w:ascii="Times New Roman" w:hAnsi="Times New Roman"/>
          <w:sz w:val="22"/>
        </w:rPr>
      </w:pPr>
      <w:r w:rsidRPr="006527D3">
        <w:rPr>
          <w:rFonts w:ascii="Times New Roman" w:hAnsi="Times New Roman"/>
          <w:sz w:val="22"/>
        </w:rPr>
        <w:t>CFG: The CFG score from the AD-related CFG database</w:t>
      </w:r>
    </w:p>
    <w:p w:rsidR="00373F44" w:rsidRPr="006527D3" w:rsidRDefault="00373F44" w:rsidP="00005C0F">
      <w:pPr>
        <w:pStyle w:val="a3"/>
        <w:numPr>
          <w:ilvl w:val="0"/>
          <w:numId w:val="4"/>
        </w:numPr>
        <w:spacing w:line="360" w:lineRule="auto"/>
        <w:rPr>
          <w:rFonts w:ascii="Times New Roman" w:hAnsi="Times New Roman"/>
          <w:sz w:val="22"/>
        </w:rPr>
      </w:pPr>
      <w:proofErr w:type="spellStart"/>
      <w:r w:rsidRPr="006527D3">
        <w:rPr>
          <w:rFonts w:ascii="Times New Roman" w:hAnsi="Times New Roman"/>
          <w:sz w:val="22"/>
        </w:rPr>
        <w:t>alz_gene</w:t>
      </w:r>
      <w:proofErr w:type="spellEnd"/>
      <w:r w:rsidRPr="006527D3">
        <w:rPr>
          <w:rFonts w:ascii="Times New Roman" w:hAnsi="Times New Roman"/>
          <w:sz w:val="22"/>
        </w:rPr>
        <w:t xml:space="preserve">: AD-related gene from the </w:t>
      </w:r>
      <w:proofErr w:type="spellStart"/>
      <w:r w:rsidRPr="006527D3">
        <w:rPr>
          <w:rFonts w:ascii="Times New Roman" w:hAnsi="Times New Roman"/>
          <w:sz w:val="22"/>
        </w:rPr>
        <w:t>AlzGene</w:t>
      </w:r>
      <w:proofErr w:type="spellEnd"/>
      <w:r w:rsidRPr="006527D3">
        <w:rPr>
          <w:rFonts w:ascii="Times New Roman" w:hAnsi="Times New Roman"/>
          <w:sz w:val="22"/>
        </w:rPr>
        <w:t xml:space="preserve"> database.</w:t>
      </w:r>
    </w:p>
    <w:p w:rsidR="00373F44" w:rsidRPr="006527D3" w:rsidRDefault="00373F44" w:rsidP="00005C0F">
      <w:pPr>
        <w:pStyle w:val="a3"/>
        <w:numPr>
          <w:ilvl w:val="0"/>
          <w:numId w:val="4"/>
        </w:numPr>
        <w:spacing w:line="360" w:lineRule="auto"/>
        <w:rPr>
          <w:rFonts w:ascii="Times New Roman" w:hAnsi="Times New Roman"/>
          <w:sz w:val="22"/>
        </w:rPr>
      </w:pPr>
      <w:proofErr w:type="spellStart"/>
      <w:r w:rsidRPr="006527D3">
        <w:rPr>
          <w:rFonts w:ascii="Times New Roman" w:hAnsi="Times New Roman"/>
          <w:sz w:val="22"/>
        </w:rPr>
        <w:t>digsee</w:t>
      </w:r>
      <w:proofErr w:type="spellEnd"/>
      <w:r w:rsidRPr="006527D3">
        <w:rPr>
          <w:rFonts w:ascii="Times New Roman" w:hAnsi="Times New Roman"/>
          <w:sz w:val="22"/>
        </w:rPr>
        <w:t>: AD-related gene from the DigSee database.</w:t>
      </w:r>
    </w:p>
    <w:p w:rsidR="00373F44" w:rsidRPr="006527D3" w:rsidRDefault="00373F44" w:rsidP="00005C0F">
      <w:pPr>
        <w:pStyle w:val="a3"/>
        <w:numPr>
          <w:ilvl w:val="0"/>
          <w:numId w:val="4"/>
        </w:numPr>
        <w:spacing w:line="360" w:lineRule="auto"/>
        <w:rPr>
          <w:rFonts w:ascii="Times New Roman" w:hAnsi="Times New Roman"/>
          <w:sz w:val="22"/>
        </w:rPr>
      </w:pPr>
      <w:proofErr w:type="spellStart"/>
      <w:r w:rsidRPr="006527D3">
        <w:rPr>
          <w:rFonts w:ascii="Times New Roman" w:hAnsi="Times New Roman"/>
          <w:sz w:val="22"/>
        </w:rPr>
        <w:t>Final_CFG</w:t>
      </w:r>
      <w:proofErr w:type="spellEnd"/>
      <w:r w:rsidRPr="006527D3">
        <w:rPr>
          <w:rFonts w:ascii="Times New Roman" w:hAnsi="Times New Roman"/>
          <w:sz w:val="22"/>
        </w:rPr>
        <w:t xml:space="preserve">: CFG + </w:t>
      </w:r>
      <w:proofErr w:type="spellStart"/>
      <w:r w:rsidRPr="006527D3">
        <w:rPr>
          <w:rFonts w:ascii="Times New Roman" w:hAnsi="Times New Roman"/>
          <w:sz w:val="22"/>
        </w:rPr>
        <w:t>alz_gene</w:t>
      </w:r>
      <w:proofErr w:type="spellEnd"/>
      <w:r w:rsidRPr="006527D3">
        <w:rPr>
          <w:rFonts w:ascii="Times New Roman" w:hAnsi="Times New Roman"/>
          <w:sz w:val="22"/>
        </w:rPr>
        <w:t xml:space="preserve"> + </w:t>
      </w:r>
      <w:proofErr w:type="spellStart"/>
      <w:r w:rsidRPr="006527D3">
        <w:rPr>
          <w:rFonts w:ascii="Times New Roman" w:hAnsi="Times New Roman"/>
          <w:sz w:val="22"/>
        </w:rPr>
        <w:t>digsee</w:t>
      </w:r>
      <w:proofErr w:type="spellEnd"/>
    </w:p>
    <w:p w:rsidR="00373F44" w:rsidRPr="006527D3" w:rsidRDefault="00373F44" w:rsidP="00005C0F">
      <w:pPr>
        <w:pStyle w:val="a3"/>
        <w:spacing w:line="360" w:lineRule="auto"/>
        <w:rPr>
          <w:rFonts w:ascii="Times New Roman" w:hAnsi="Times New Roman"/>
          <w:sz w:val="22"/>
        </w:rPr>
      </w:pPr>
      <w:r w:rsidRPr="006527D3">
        <w:rPr>
          <w:rFonts w:ascii="Times New Roman" w:hAnsi="Times New Roman"/>
          <w:b/>
          <w:sz w:val="22"/>
        </w:rPr>
        <w:t>Supplementary Table 3:</w:t>
      </w:r>
      <w:r w:rsidRPr="006527D3">
        <w:rPr>
          <w:rFonts w:ascii="Times New Roman" w:hAnsi="Times New Roman"/>
          <w:sz w:val="22"/>
        </w:rPr>
        <w:t xml:space="preserve"> </w:t>
      </w:r>
      <w:r w:rsidRPr="006527D3">
        <w:rPr>
          <w:rFonts w:ascii="Times New Roman" w:hAnsi="Times New Roman" w:hint="eastAsia"/>
          <w:sz w:val="22"/>
        </w:rPr>
        <w:t>A</w:t>
      </w:r>
      <w:r w:rsidRPr="006527D3">
        <w:rPr>
          <w:rFonts w:ascii="Times New Roman" w:hAnsi="Times New Roman"/>
          <w:sz w:val="22"/>
        </w:rPr>
        <w:t xml:space="preserve"> </w:t>
      </w:r>
      <w:r w:rsidRPr="006527D3">
        <w:rPr>
          <w:rFonts w:ascii="Times New Roman" w:hAnsi="Times New Roman" w:hint="eastAsia"/>
          <w:sz w:val="22"/>
        </w:rPr>
        <w:t>l</w:t>
      </w:r>
      <w:r w:rsidRPr="006527D3">
        <w:rPr>
          <w:rFonts w:ascii="Times New Roman" w:hAnsi="Times New Roman"/>
          <w:sz w:val="22"/>
        </w:rPr>
        <w:t xml:space="preserve">ist of differentially expressed genes with </w:t>
      </w:r>
      <w:r w:rsidRPr="006527D3">
        <w:rPr>
          <w:rFonts w:ascii="Times New Roman" w:hAnsi="Times New Roman" w:hint="eastAsia"/>
          <w:sz w:val="22"/>
        </w:rPr>
        <w:t>c</w:t>
      </w:r>
      <w:r w:rsidRPr="006527D3">
        <w:rPr>
          <w:rFonts w:ascii="Times New Roman" w:hAnsi="Times New Roman"/>
          <w:sz w:val="22"/>
        </w:rPr>
        <w:t xml:space="preserve">onvergent </w:t>
      </w:r>
      <w:r w:rsidRPr="006527D3">
        <w:rPr>
          <w:rFonts w:ascii="Times New Roman" w:hAnsi="Times New Roman" w:hint="eastAsia"/>
          <w:sz w:val="22"/>
        </w:rPr>
        <w:t>f</w:t>
      </w:r>
      <w:r w:rsidRPr="006527D3">
        <w:rPr>
          <w:rFonts w:ascii="Times New Roman" w:hAnsi="Times New Roman"/>
          <w:sz w:val="22"/>
        </w:rPr>
        <w:t xml:space="preserve">unctional </w:t>
      </w:r>
      <w:r w:rsidRPr="006527D3">
        <w:rPr>
          <w:rFonts w:ascii="Times New Roman" w:hAnsi="Times New Roman" w:hint="eastAsia"/>
          <w:sz w:val="22"/>
        </w:rPr>
        <w:t>g</w:t>
      </w:r>
      <w:r w:rsidRPr="006527D3">
        <w:rPr>
          <w:rFonts w:ascii="Times New Roman" w:hAnsi="Times New Roman"/>
          <w:sz w:val="22"/>
        </w:rPr>
        <w:t>enomics score for ANM1</w:t>
      </w:r>
    </w:p>
    <w:p w:rsidR="00373F44" w:rsidRPr="006527D3" w:rsidRDefault="00373F44" w:rsidP="00005C0F">
      <w:pPr>
        <w:pStyle w:val="a3"/>
        <w:numPr>
          <w:ilvl w:val="0"/>
          <w:numId w:val="5"/>
        </w:numPr>
        <w:spacing w:line="360" w:lineRule="auto"/>
        <w:rPr>
          <w:rFonts w:ascii="Times New Roman" w:hAnsi="Times New Roman"/>
          <w:sz w:val="22"/>
        </w:rPr>
      </w:pPr>
      <w:r w:rsidRPr="006527D3">
        <w:rPr>
          <w:rFonts w:ascii="Times New Roman" w:hAnsi="Times New Roman"/>
          <w:sz w:val="22"/>
        </w:rPr>
        <w:t xml:space="preserve">The </w:t>
      </w:r>
      <w:proofErr w:type="spellStart"/>
      <w:r w:rsidRPr="006527D3">
        <w:rPr>
          <w:rFonts w:ascii="Times New Roman" w:hAnsi="Times New Roman"/>
          <w:sz w:val="22"/>
        </w:rPr>
        <w:t>log_ratio</w:t>
      </w:r>
      <w:proofErr w:type="spellEnd"/>
      <w:r w:rsidRPr="006527D3">
        <w:rPr>
          <w:rFonts w:ascii="Times New Roman" w:hAnsi="Times New Roman"/>
          <w:sz w:val="22"/>
        </w:rPr>
        <w:t xml:space="preserve"> means Log2(fold change)</w:t>
      </w:r>
    </w:p>
    <w:p w:rsidR="00373F44" w:rsidRPr="006527D3" w:rsidRDefault="00373F44" w:rsidP="00005C0F">
      <w:pPr>
        <w:pStyle w:val="a3"/>
        <w:numPr>
          <w:ilvl w:val="0"/>
          <w:numId w:val="5"/>
        </w:numPr>
        <w:spacing w:line="360" w:lineRule="auto"/>
        <w:rPr>
          <w:rFonts w:ascii="Times New Roman" w:hAnsi="Times New Roman"/>
          <w:sz w:val="22"/>
        </w:rPr>
      </w:pPr>
      <w:r w:rsidRPr="006527D3">
        <w:rPr>
          <w:rFonts w:ascii="Times New Roman" w:hAnsi="Times New Roman"/>
          <w:sz w:val="22"/>
        </w:rPr>
        <w:t xml:space="preserve">The </w:t>
      </w:r>
      <w:proofErr w:type="spellStart"/>
      <w:r w:rsidRPr="006527D3">
        <w:rPr>
          <w:rFonts w:ascii="Times New Roman" w:hAnsi="Times New Roman"/>
          <w:sz w:val="22"/>
        </w:rPr>
        <w:t>AveExpr</w:t>
      </w:r>
      <w:proofErr w:type="spellEnd"/>
      <w:r w:rsidRPr="006527D3">
        <w:rPr>
          <w:rFonts w:ascii="Times New Roman" w:hAnsi="Times New Roman"/>
          <w:sz w:val="22"/>
        </w:rPr>
        <w:t xml:space="preserve"> means ‼</w:t>
      </w:r>
    </w:p>
    <w:p w:rsidR="00373F44" w:rsidRPr="006527D3" w:rsidRDefault="00373F44" w:rsidP="00005C0F">
      <w:pPr>
        <w:pStyle w:val="a3"/>
        <w:numPr>
          <w:ilvl w:val="0"/>
          <w:numId w:val="5"/>
        </w:numPr>
        <w:spacing w:line="360" w:lineRule="auto"/>
        <w:rPr>
          <w:rFonts w:ascii="Times New Roman" w:hAnsi="Times New Roman"/>
          <w:sz w:val="22"/>
        </w:rPr>
      </w:pPr>
      <w:r w:rsidRPr="006527D3">
        <w:rPr>
          <w:rFonts w:ascii="Times New Roman" w:hAnsi="Times New Roman"/>
          <w:sz w:val="22"/>
        </w:rPr>
        <w:t xml:space="preserve">The </w:t>
      </w:r>
      <w:proofErr w:type="spellStart"/>
      <w:r w:rsidRPr="006527D3">
        <w:rPr>
          <w:rFonts w:ascii="Times New Roman" w:hAnsi="Times New Roman"/>
          <w:sz w:val="22"/>
        </w:rPr>
        <w:t>t_value</w:t>
      </w:r>
      <w:proofErr w:type="spellEnd"/>
      <w:r w:rsidRPr="006527D3">
        <w:rPr>
          <w:rFonts w:ascii="Times New Roman" w:hAnsi="Times New Roman"/>
          <w:sz w:val="22"/>
        </w:rPr>
        <w:t xml:space="preserve"> means the </w:t>
      </w:r>
      <w:r w:rsidRPr="006527D3">
        <w:rPr>
          <w:rFonts w:ascii="Times New Roman" w:hAnsi="Times New Roman"/>
          <w:i/>
          <w:sz w:val="22"/>
        </w:rPr>
        <w:t>T</w:t>
      </w:r>
      <w:r w:rsidRPr="006527D3">
        <w:rPr>
          <w:rFonts w:ascii="Times New Roman" w:hAnsi="Times New Roman"/>
          <w:sz w:val="22"/>
        </w:rPr>
        <w:t>-statistic value.</w:t>
      </w:r>
    </w:p>
    <w:p w:rsidR="00373F44" w:rsidRPr="006527D3" w:rsidRDefault="00373F44" w:rsidP="00005C0F">
      <w:pPr>
        <w:pStyle w:val="a3"/>
        <w:numPr>
          <w:ilvl w:val="0"/>
          <w:numId w:val="5"/>
        </w:numPr>
        <w:spacing w:line="360" w:lineRule="auto"/>
        <w:rPr>
          <w:rFonts w:ascii="Times New Roman" w:hAnsi="Times New Roman"/>
          <w:sz w:val="22"/>
        </w:rPr>
      </w:pPr>
      <w:r w:rsidRPr="006527D3">
        <w:rPr>
          <w:rFonts w:ascii="Times New Roman" w:hAnsi="Times New Roman"/>
          <w:sz w:val="22"/>
        </w:rPr>
        <w:t>The beta means B-statistic (</w:t>
      </w:r>
      <w:proofErr w:type="spellStart"/>
      <w:r w:rsidRPr="006527D3">
        <w:rPr>
          <w:rFonts w:ascii="Times New Roman" w:hAnsi="Times New Roman"/>
          <w:sz w:val="22"/>
        </w:rPr>
        <w:t>lods</w:t>
      </w:r>
      <w:proofErr w:type="spellEnd"/>
      <w:r w:rsidRPr="006527D3">
        <w:rPr>
          <w:rFonts w:ascii="Times New Roman" w:hAnsi="Times New Roman"/>
          <w:sz w:val="22"/>
        </w:rPr>
        <w:t xml:space="preserve"> or B) which is the log-odds that that gene is differentially expressed.</w:t>
      </w:r>
    </w:p>
    <w:p w:rsidR="00373F44" w:rsidRPr="006527D3" w:rsidRDefault="00373F44" w:rsidP="00005C0F">
      <w:pPr>
        <w:pStyle w:val="a3"/>
        <w:numPr>
          <w:ilvl w:val="0"/>
          <w:numId w:val="5"/>
        </w:numPr>
        <w:spacing w:line="360" w:lineRule="auto"/>
        <w:rPr>
          <w:rFonts w:ascii="Times New Roman" w:hAnsi="Times New Roman"/>
          <w:sz w:val="22"/>
        </w:rPr>
      </w:pPr>
      <w:proofErr w:type="spellStart"/>
      <w:r w:rsidRPr="006527D3">
        <w:rPr>
          <w:rFonts w:ascii="Times New Roman" w:hAnsi="Times New Roman"/>
          <w:sz w:val="22"/>
        </w:rPr>
        <w:t>eQTL</w:t>
      </w:r>
      <w:proofErr w:type="spellEnd"/>
      <w:r w:rsidRPr="006527D3">
        <w:rPr>
          <w:rFonts w:ascii="Times New Roman" w:hAnsi="Times New Roman"/>
          <w:sz w:val="22"/>
        </w:rPr>
        <w:t>: # of variants associated with each gene expression in the AD-related CFG database.</w:t>
      </w:r>
    </w:p>
    <w:p w:rsidR="00373F44" w:rsidRPr="006527D3" w:rsidRDefault="00373F44" w:rsidP="00005C0F">
      <w:pPr>
        <w:pStyle w:val="a3"/>
        <w:numPr>
          <w:ilvl w:val="0"/>
          <w:numId w:val="5"/>
        </w:numPr>
        <w:spacing w:line="360" w:lineRule="auto"/>
        <w:rPr>
          <w:rFonts w:ascii="Times New Roman" w:hAnsi="Times New Roman"/>
          <w:sz w:val="22"/>
        </w:rPr>
      </w:pPr>
      <w:r w:rsidRPr="006527D3">
        <w:rPr>
          <w:rFonts w:ascii="Times New Roman" w:hAnsi="Times New Roman"/>
          <w:sz w:val="22"/>
        </w:rPr>
        <w:t>GWAS: # of AD-related variants in the AD-related CFG database.</w:t>
      </w:r>
    </w:p>
    <w:p w:rsidR="00373F44" w:rsidRPr="006527D3" w:rsidRDefault="00373F44" w:rsidP="00005C0F">
      <w:pPr>
        <w:pStyle w:val="a3"/>
        <w:numPr>
          <w:ilvl w:val="0"/>
          <w:numId w:val="5"/>
        </w:numPr>
        <w:spacing w:line="360" w:lineRule="auto"/>
        <w:rPr>
          <w:rFonts w:ascii="Times New Roman" w:hAnsi="Times New Roman"/>
          <w:sz w:val="22"/>
        </w:rPr>
      </w:pPr>
      <w:r w:rsidRPr="006527D3">
        <w:rPr>
          <w:rFonts w:ascii="Times New Roman" w:hAnsi="Times New Roman"/>
          <w:sz w:val="22"/>
        </w:rPr>
        <w:t>PPI: AD-core genes physically interacting with each gene in the AD-related CFG database.</w:t>
      </w:r>
    </w:p>
    <w:p w:rsidR="00373F44" w:rsidRPr="006527D3" w:rsidRDefault="00373F44" w:rsidP="00005C0F">
      <w:pPr>
        <w:pStyle w:val="a3"/>
        <w:numPr>
          <w:ilvl w:val="0"/>
          <w:numId w:val="5"/>
        </w:numPr>
        <w:spacing w:line="360" w:lineRule="auto"/>
        <w:rPr>
          <w:rFonts w:ascii="Times New Roman" w:hAnsi="Times New Roman"/>
          <w:sz w:val="22"/>
        </w:rPr>
      </w:pPr>
      <w:proofErr w:type="spellStart"/>
      <w:r w:rsidRPr="006527D3">
        <w:rPr>
          <w:rFonts w:ascii="Times New Roman" w:hAnsi="Times New Roman"/>
          <w:sz w:val="22"/>
        </w:rPr>
        <w:t>Early_DEG</w:t>
      </w:r>
      <w:proofErr w:type="spellEnd"/>
      <w:r w:rsidRPr="006527D3">
        <w:rPr>
          <w:rFonts w:ascii="Times New Roman" w:hAnsi="Times New Roman"/>
          <w:sz w:val="22"/>
        </w:rPr>
        <w:t>: genes with early differential expression in AD mice (AD-related CFG database).</w:t>
      </w:r>
    </w:p>
    <w:p w:rsidR="00373F44" w:rsidRPr="006527D3" w:rsidRDefault="00373F44" w:rsidP="00005C0F">
      <w:pPr>
        <w:pStyle w:val="a3"/>
        <w:numPr>
          <w:ilvl w:val="0"/>
          <w:numId w:val="5"/>
        </w:numPr>
        <w:spacing w:line="360" w:lineRule="auto"/>
        <w:rPr>
          <w:rFonts w:ascii="Times New Roman" w:hAnsi="Times New Roman"/>
          <w:sz w:val="22"/>
        </w:rPr>
      </w:pPr>
      <w:proofErr w:type="gramStart"/>
      <w:r w:rsidRPr="006527D3">
        <w:rPr>
          <w:rFonts w:ascii="Times New Roman" w:hAnsi="Times New Roman"/>
          <w:sz w:val="22"/>
        </w:rPr>
        <w:t>Pathology.</w:t>
      </w:r>
      <w:proofErr w:type="spellStart"/>
      <w:r w:rsidRPr="006527D3">
        <w:rPr>
          <w:rFonts w:ascii="Times New Roman" w:hAnsi="Times New Roman"/>
          <w:sz w:val="22"/>
        </w:rPr>
        <w:t>cor</w:t>
      </w:r>
      <w:proofErr w:type="spellEnd"/>
      <w:r w:rsidRPr="006527D3">
        <w:rPr>
          <w:rFonts w:ascii="Times New Roman" w:hAnsi="Times New Roman"/>
          <w:sz w:val="22"/>
        </w:rPr>
        <w:t>..</w:t>
      </w:r>
      <w:proofErr w:type="spellStart"/>
      <w:proofErr w:type="gramEnd"/>
      <w:r w:rsidRPr="006527D3">
        <w:rPr>
          <w:rFonts w:ascii="Times New Roman" w:hAnsi="Times New Roman"/>
          <w:sz w:val="22"/>
        </w:rPr>
        <w:t>abeta</w:t>
      </w:r>
      <w:proofErr w:type="spellEnd"/>
      <w:r w:rsidRPr="006527D3">
        <w:rPr>
          <w:rFonts w:ascii="Times New Roman" w:hAnsi="Times New Roman"/>
          <w:sz w:val="22"/>
        </w:rPr>
        <w:t>./</w:t>
      </w:r>
      <w:r w:rsidRPr="006527D3">
        <w:rPr>
          <w:sz w:val="22"/>
        </w:rPr>
        <w:t xml:space="preserve"> </w:t>
      </w:r>
      <w:r w:rsidRPr="006527D3">
        <w:rPr>
          <w:rFonts w:ascii="Times New Roman" w:hAnsi="Times New Roman"/>
          <w:sz w:val="22"/>
        </w:rPr>
        <w:t>Pathology.</w:t>
      </w:r>
      <w:proofErr w:type="spellStart"/>
      <w:r w:rsidRPr="006527D3">
        <w:rPr>
          <w:rFonts w:ascii="Times New Roman" w:hAnsi="Times New Roman"/>
          <w:sz w:val="22"/>
        </w:rPr>
        <w:t>cor</w:t>
      </w:r>
      <w:proofErr w:type="spellEnd"/>
      <w:r w:rsidRPr="006527D3">
        <w:rPr>
          <w:rFonts w:ascii="Times New Roman" w:hAnsi="Times New Roman"/>
          <w:sz w:val="22"/>
        </w:rPr>
        <w:t>..tau.: genes correlating with AD pathology in AD mice (P &lt; 0.05) at the expression level</w:t>
      </w:r>
    </w:p>
    <w:p w:rsidR="00373F44" w:rsidRPr="006527D3" w:rsidRDefault="00373F44" w:rsidP="00005C0F">
      <w:pPr>
        <w:pStyle w:val="a3"/>
        <w:numPr>
          <w:ilvl w:val="0"/>
          <w:numId w:val="5"/>
        </w:numPr>
        <w:spacing w:line="360" w:lineRule="auto"/>
        <w:rPr>
          <w:rFonts w:ascii="Times New Roman" w:hAnsi="Times New Roman"/>
          <w:sz w:val="22"/>
        </w:rPr>
      </w:pPr>
      <w:r w:rsidRPr="006527D3">
        <w:rPr>
          <w:rFonts w:ascii="Times New Roman" w:hAnsi="Times New Roman"/>
          <w:sz w:val="22"/>
        </w:rPr>
        <w:t>CFG: The CFG score from the AD-related CFG database</w:t>
      </w:r>
    </w:p>
    <w:p w:rsidR="00373F44" w:rsidRPr="006527D3" w:rsidRDefault="00373F44" w:rsidP="00005C0F">
      <w:pPr>
        <w:pStyle w:val="a3"/>
        <w:numPr>
          <w:ilvl w:val="0"/>
          <w:numId w:val="5"/>
        </w:numPr>
        <w:spacing w:line="360" w:lineRule="auto"/>
        <w:rPr>
          <w:rFonts w:ascii="Times New Roman" w:hAnsi="Times New Roman"/>
          <w:sz w:val="22"/>
        </w:rPr>
      </w:pPr>
      <w:proofErr w:type="spellStart"/>
      <w:r w:rsidRPr="006527D3">
        <w:rPr>
          <w:rFonts w:ascii="Times New Roman" w:hAnsi="Times New Roman"/>
          <w:sz w:val="22"/>
        </w:rPr>
        <w:t>alz_gene</w:t>
      </w:r>
      <w:proofErr w:type="spellEnd"/>
      <w:r w:rsidRPr="006527D3">
        <w:rPr>
          <w:rFonts w:ascii="Times New Roman" w:hAnsi="Times New Roman"/>
          <w:sz w:val="22"/>
        </w:rPr>
        <w:t xml:space="preserve">: AD-related gene from the </w:t>
      </w:r>
      <w:proofErr w:type="spellStart"/>
      <w:r w:rsidRPr="006527D3">
        <w:rPr>
          <w:rFonts w:ascii="Times New Roman" w:hAnsi="Times New Roman"/>
          <w:sz w:val="22"/>
        </w:rPr>
        <w:t>AlzGene</w:t>
      </w:r>
      <w:proofErr w:type="spellEnd"/>
      <w:r w:rsidRPr="006527D3">
        <w:rPr>
          <w:rFonts w:ascii="Times New Roman" w:hAnsi="Times New Roman"/>
          <w:sz w:val="22"/>
        </w:rPr>
        <w:t xml:space="preserve"> database.</w:t>
      </w:r>
    </w:p>
    <w:p w:rsidR="00373F44" w:rsidRPr="006527D3" w:rsidRDefault="00373F44" w:rsidP="00005C0F">
      <w:pPr>
        <w:pStyle w:val="a3"/>
        <w:numPr>
          <w:ilvl w:val="0"/>
          <w:numId w:val="5"/>
        </w:numPr>
        <w:spacing w:line="360" w:lineRule="auto"/>
        <w:rPr>
          <w:rFonts w:ascii="Times New Roman" w:hAnsi="Times New Roman"/>
          <w:sz w:val="22"/>
        </w:rPr>
      </w:pPr>
      <w:proofErr w:type="spellStart"/>
      <w:r w:rsidRPr="006527D3">
        <w:rPr>
          <w:rFonts w:ascii="Times New Roman" w:hAnsi="Times New Roman"/>
          <w:sz w:val="22"/>
        </w:rPr>
        <w:t>digsee</w:t>
      </w:r>
      <w:proofErr w:type="spellEnd"/>
      <w:r w:rsidRPr="006527D3">
        <w:rPr>
          <w:rFonts w:ascii="Times New Roman" w:hAnsi="Times New Roman"/>
          <w:sz w:val="22"/>
        </w:rPr>
        <w:t>: AD-related gene from the DigSee database.</w:t>
      </w:r>
    </w:p>
    <w:p w:rsidR="00373F44" w:rsidRPr="006527D3" w:rsidRDefault="00373F44" w:rsidP="00005C0F">
      <w:pPr>
        <w:pStyle w:val="a3"/>
        <w:numPr>
          <w:ilvl w:val="0"/>
          <w:numId w:val="5"/>
        </w:numPr>
        <w:spacing w:line="360" w:lineRule="auto"/>
        <w:rPr>
          <w:rFonts w:ascii="Times New Roman" w:hAnsi="Times New Roman"/>
          <w:sz w:val="22"/>
        </w:rPr>
      </w:pPr>
      <w:proofErr w:type="spellStart"/>
      <w:r w:rsidRPr="006527D3">
        <w:rPr>
          <w:rFonts w:ascii="Times New Roman" w:hAnsi="Times New Roman"/>
          <w:sz w:val="22"/>
        </w:rPr>
        <w:t>Final_CFG</w:t>
      </w:r>
      <w:proofErr w:type="spellEnd"/>
      <w:r w:rsidRPr="006527D3">
        <w:rPr>
          <w:rFonts w:ascii="Times New Roman" w:hAnsi="Times New Roman"/>
          <w:sz w:val="22"/>
        </w:rPr>
        <w:t xml:space="preserve">: CFG + </w:t>
      </w:r>
      <w:proofErr w:type="spellStart"/>
      <w:r w:rsidRPr="006527D3">
        <w:rPr>
          <w:rFonts w:ascii="Times New Roman" w:hAnsi="Times New Roman"/>
          <w:sz w:val="22"/>
        </w:rPr>
        <w:t>alz_gene</w:t>
      </w:r>
      <w:proofErr w:type="spellEnd"/>
      <w:r w:rsidRPr="006527D3">
        <w:rPr>
          <w:rFonts w:ascii="Times New Roman" w:hAnsi="Times New Roman"/>
          <w:sz w:val="22"/>
        </w:rPr>
        <w:t xml:space="preserve"> + </w:t>
      </w:r>
      <w:proofErr w:type="spellStart"/>
      <w:r w:rsidRPr="006527D3">
        <w:rPr>
          <w:rFonts w:ascii="Times New Roman" w:hAnsi="Times New Roman"/>
          <w:sz w:val="22"/>
        </w:rPr>
        <w:t>digsee</w:t>
      </w:r>
      <w:proofErr w:type="spellEnd"/>
    </w:p>
    <w:p w:rsidR="00DA1CE2" w:rsidRDefault="00DA1CE2" w:rsidP="00005C0F">
      <w:pPr>
        <w:pStyle w:val="a3"/>
        <w:spacing w:line="360" w:lineRule="auto"/>
        <w:rPr>
          <w:rFonts w:ascii="Times New Roman" w:hAnsi="Times New Roman"/>
          <w:b/>
          <w:sz w:val="22"/>
        </w:rPr>
      </w:pPr>
    </w:p>
    <w:p w:rsidR="00373F44" w:rsidRPr="006527D3" w:rsidRDefault="00373F44" w:rsidP="00005C0F">
      <w:pPr>
        <w:pStyle w:val="a3"/>
        <w:spacing w:line="360" w:lineRule="auto"/>
        <w:rPr>
          <w:rFonts w:ascii="Times New Roman" w:hAnsi="Times New Roman"/>
          <w:sz w:val="22"/>
        </w:rPr>
      </w:pPr>
      <w:r w:rsidRPr="008C64AE">
        <w:rPr>
          <w:rFonts w:ascii="Times New Roman" w:hAnsi="Times New Roman"/>
          <w:b/>
          <w:sz w:val="22"/>
        </w:rPr>
        <w:lastRenderedPageBreak/>
        <w:t>Supplementary Table 4:</w:t>
      </w:r>
      <w:r w:rsidRPr="006527D3">
        <w:rPr>
          <w:rFonts w:ascii="Times New Roman" w:hAnsi="Times New Roman"/>
          <w:sz w:val="22"/>
        </w:rPr>
        <w:t xml:space="preserve"> </w:t>
      </w:r>
      <w:r w:rsidRPr="006527D3">
        <w:rPr>
          <w:rFonts w:ascii="Times New Roman" w:hAnsi="Times New Roman" w:hint="eastAsia"/>
          <w:sz w:val="22"/>
        </w:rPr>
        <w:t>A</w:t>
      </w:r>
      <w:r w:rsidRPr="006527D3">
        <w:rPr>
          <w:rFonts w:ascii="Times New Roman" w:hAnsi="Times New Roman"/>
          <w:sz w:val="22"/>
        </w:rPr>
        <w:t xml:space="preserve"> </w:t>
      </w:r>
      <w:r w:rsidRPr="006527D3">
        <w:rPr>
          <w:rFonts w:ascii="Times New Roman" w:hAnsi="Times New Roman" w:hint="eastAsia"/>
          <w:sz w:val="22"/>
        </w:rPr>
        <w:t>l</w:t>
      </w:r>
      <w:r w:rsidRPr="006527D3">
        <w:rPr>
          <w:rFonts w:ascii="Times New Roman" w:hAnsi="Times New Roman"/>
          <w:sz w:val="22"/>
        </w:rPr>
        <w:t xml:space="preserve">ist of differentially expressed genes with </w:t>
      </w:r>
      <w:r w:rsidRPr="006527D3">
        <w:rPr>
          <w:rFonts w:ascii="Times New Roman" w:hAnsi="Times New Roman" w:hint="eastAsia"/>
          <w:sz w:val="22"/>
        </w:rPr>
        <w:t>c</w:t>
      </w:r>
      <w:r w:rsidRPr="006527D3">
        <w:rPr>
          <w:rFonts w:ascii="Times New Roman" w:hAnsi="Times New Roman"/>
          <w:sz w:val="22"/>
        </w:rPr>
        <w:t xml:space="preserve">onvergent </w:t>
      </w:r>
      <w:r w:rsidRPr="006527D3">
        <w:rPr>
          <w:rFonts w:ascii="Times New Roman" w:hAnsi="Times New Roman" w:hint="eastAsia"/>
          <w:sz w:val="22"/>
        </w:rPr>
        <w:t>f</w:t>
      </w:r>
      <w:r w:rsidRPr="006527D3">
        <w:rPr>
          <w:rFonts w:ascii="Times New Roman" w:hAnsi="Times New Roman"/>
          <w:sz w:val="22"/>
        </w:rPr>
        <w:t xml:space="preserve">unctional </w:t>
      </w:r>
      <w:r w:rsidRPr="006527D3">
        <w:rPr>
          <w:rFonts w:ascii="Times New Roman" w:hAnsi="Times New Roman" w:hint="eastAsia"/>
          <w:sz w:val="22"/>
        </w:rPr>
        <w:t>g</w:t>
      </w:r>
      <w:r w:rsidRPr="006527D3">
        <w:rPr>
          <w:rFonts w:ascii="Times New Roman" w:hAnsi="Times New Roman"/>
          <w:sz w:val="22"/>
        </w:rPr>
        <w:t>enomics score for ANM2</w:t>
      </w:r>
    </w:p>
    <w:p w:rsidR="00373F44" w:rsidRPr="006527D3" w:rsidRDefault="00373F44" w:rsidP="00005C0F">
      <w:pPr>
        <w:pStyle w:val="a3"/>
        <w:spacing w:line="360" w:lineRule="auto"/>
        <w:rPr>
          <w:rFonts w:ascii="Times New Roman" w:hAnsi="Times New Roman"/>
          <w:sz w:val="22"/>
        </w:rPr>
      </w:pPr>
      <w:r w:rsidRPr="008C64AE">
        <w:rPr>
          <w:rFonts w:ascii="Times New Roman" w:hAnsi="Times New Roman"/>
          <w:b/>
          <w:sz w:val="22"/>
        </w:rPr>
        <w:t>Supplementary Table 5:</w:t>
      </w:r>
      <w:r w:rsidRPr="006527D3">
        <w:rPr>
          <w:rFonts w:ascii="Times New Roman" w:hAnsi="Times New Roman"/>
          <w:sz w:val="22"/>
        </w:rPr>
        <w:t xml:space="preserve"> Five-fold cross validation results for ADNI, ANM1, and ANM2</w:t>
      </w:r>
    </w:p>
    <w:p w:rsidR="00373F44" w:rsidRPr="006527D3" w:rsidRDefault="00373F44" w:rsidP="00005C0F">
      <w:pPr>
        <w:pStyle w:val="a3"/>
        <w:spacing w:line="360" w:lineRule="auto"/>
        <w:rPr>
          <w:rFonts w:ascii="Times New Roman" w:hAnsi="Times New Roman"/>
          <w:sz w:val="22"/>
        </w:rPr>
      </w:pPr>
      <w:r w:rsidRPr="006527D3">
        <w:rPr>
          <w:rFonts w:ascii="Times New Roman" w:hAnsi="Times New Roman"/>
          <w:sz w:val="22"/>
        </w:rPr>
        <w:t>ADNI, Alzheimer's Disease Neuroimaging Initiative; ANM, AddNeuroMed; DEG, differentially expressed gene; VAE, variant autoencoder; TF, transcription factor; CFG, Convergent Functional Genomics; LR, logistic regression; L1-LR, L1-regularized LR; SVM, support vector machine; RF, random forest; DNN, deep neural network; CV, cross-validation set; AUC, area under the curve.</w:t>
      </w:r>
    </w:p>
    <w:p w:rsidR="00373F44" w:rsidRPr="006527D3" w:rsidRDefault="00373F44" w:rsidP="00005C0F">
      <w:pPr>
        <w:pStyle w:val="a3"/>
        <w:spacing w:line="360" w:lineRule="auto"/>
        <w:rPr>
          <w:rFonts w:ascii="Times New Roman" w:hAnsi="Times New Roman"/>
          <w:sz w:val="22"/>
        </w:rPr>
      </w:pPr>
      <w:r w:rsidRPr="006527D3">
        <w:rPr>
          <w:rFonts w:ascii="Times New Roman" w:hAnsi="Times New Roman"/>
          <w:b/>
          <w:sz w:val="22"/>
        </w:rPr>
        <w:t>Supplementary Table 6:</w:t>
      </w:r>
      <w:r w:rsidRPr="006527D3">
        <w:rPr>
          <w:rFonts w:ascii="Times New Roman" w:hAnsi="Times New Roman"/>
          <w:sz w:val="22"/>
        </w:rPr>
        <w:t xml:space="preserve"> External validation using ADNI, ANM1, and ANM2.</w:t>
      </w:r>
    </w:p>
    <w:p w:rsidR="00373F44" w:rsidRPr="006527D3" w:rsidRDefault="00373F44" w:rsidP="00005C0F">
      <w:pPr>
        <w:pStyle w:val="a3"/>
        <w:spacing w:line="360" w:lineRule="auto"/>
        <w:rPr>
          <w:rFonts w:ascii="Times New Roman" w:hAnsi="Times New Roman" w:cs="Times New Roman"/>
          <w:sz w:val="22"/>
        </w:rPr>
      </w:pPr>
      <w:r w:rsidRPr="006527D3">
        <w:rPr>
          <w:rFonts w:ascii="Times New Roman" w:hAnsi="Times New Roman"/>
          <w:sz w:val="22"/>
        </w:rPr>
        <w:t xml:space="preserve">ADNI, Alzheimer's Disease Neuroimaging Initiative; ANM, AddNeuroMed; CN, healthy control; AD, Alzheimer’s disease; DEG, differentially expressed gene; VAE, variant autoencoder; TF, transcription factor; CFG, Convergent Functional Genomics; LR, logistic regression; L1-LR, L1-regularized LR; SVM, </w:t>
      </w:r>
      <w:r w:rsidRPr="006527D3">
        <w:rPr>
          <w:rFonts w:ascii="Times New Roman" w:hAnsi="Times New Roman" w:cs="Times New Roman"/>
          <w:sz w:val="22"/>
        </w:rPr>
        <w:t>support vector machine; RF, random forest; DNN, deep neural network; CV, cross-validation set; AUC, area under the curve.</w:t>
      </w:r>
    </w:p>
    <w:p w:rsidR="00373F44" w:rsidRPr="006527D3" w:rsidRDefault="00373F44" w:rsidP="00005C0F">
      <w:pPr>
        <w:pStyle w:val="a3"/>
        <w:spacing w:line="360" w:lineRule="auto"/>
        <w:rPr>
          <w:rFonts w:ascii="Times New Roman" w:hAnsi="Times New Roman" w:cs="Times New Roman"/>
          <w:sz w:val="22"/>
        </w:rPr>
      </w:pPr>
      <w:r w:rsidRPr="006527D3">
        <w:rPr>
          <w:rFonts w:ascii="Times New Roman" w:hAnsi="Times New Roman" w:cs="Times New Roman"/>
          <w:b/>
          <w:sz w:val="22"/>
        </w:rPr>
        <w:t>Supplementary Table 7:</w:t>
      </w:r>
      <w:r w:rsidRPr="006527D3">
        <w:rPr>
          <w:rFonts w:ascii="Times New Roman" w:hAnsi="Times New Roman" w:cs="Times New Roman"/>
          <w:sz w:val="22"/>
        </w:rPr>
        <w:t xml:space="preserve"> Enriched Alzheimer's disease-related pathways </w:t>
      </w:r>
    </w:p>
    <w:p w:rsidR="00373F44" w:rsidRPr="006527D3" w:rsidRDefault="00373F44" w:rsidP="00005C0F">
      <w:pPr>
        <w:pStyle w:val="a3"/>
        <w:spacing w:line="360" w:lineRule="auto"/>
        <w:rPr>
          <w:rFonts w:ascii="Times New Roman" w:hAnsi="Times New Roman" w:cs="Times New Roman"/>
          <w:sz w:val="22"/>
        </w:rPr>
      </w:pPr>
      <w:r w:rsidRPr="006527D3">
        <w:rPr>
          <w:rFonts w:ascii="Times New Roman" w:hAnsi="Times New Roman" w:cs="Times New Roman"/>
          <w:sz w:val="22"/>
        </w:rPr>
        <w:t xml:space="preserve">Category: </w:t>
      </w:r>
      <w:r w:rsidR="00EC50E6">
        <w:rPr>
          <w:rFonts w:ascii="Times New Roman" w:hAnsi="Times New Roman" w:cs="Times New Roman"/>
          <w:sz w:val="22"/>
        </w:rPr>
        <w:t>KEGG</w:t>
      </w:r>
      <w:r w:rsidRPr="006527D3">
        <w:rPr>
          <w:rFonts w:ascii="Times New Roman" w:hAnsi="Times New Roman" w:cs="Times New Roman"/>
          <w:sz w:val="22"/>
        </w:rPr>
        <w:t xml:space="preserve">-Kyoto Encyclopedia of Genes and Genomes (KEGG) database, </w:t>
      </w:r>
      <w:r w:rsidR="00EC50E6">
        <w:rPr>
          <w:rFonts w:ascii="Times New Roman" w:hAnsi="Times New Roman" w:cs="Times New Roman"/>
          <w:sz w:val="22"/>
        </w:rPr>
        <w:t>GO</w:t>
      </w:r>
      <w:r w:rsidRPr="006527D3">
        <w:rPr>
          <w:rFonts w:ascii="Times New Roman" w:hAnsi="Times New Roman" w:cs="Times New Roman"/>
          <w:sz w:val="22"/>
        </w:rPr>
        <w:t>-Gene ontology (GO) biological process (</w:t>
      </w:r>
      <w:proofErr w:type="spellStart"/>
      <w:r w:rsidRPr="006527D3">
        <w:rPr>
          <w:rFonts w:ascii="Times New Roman" w:hAnsi="Times New Roman" w:cs="Times New Roman"/>
          <w:sz w:val="22"/>
        </w:rPr>
        <w:t>bp</w:t>
      </w:r>
      <w:proofErr w:type="spellEnd"/>
      <w:r w:rsidRPr="006527D3">
        <w:rPr>
          <w:rFonts w:ascii="Times New Roman" w:hAnsi="Times New Roman" w:cs="Times New Roman"/>
          <w:sz w:val="22"/>
        </w:rPr>
        <w:t xml:space="preserve"> = Biological Process; cc = Cellular Component; mf = Molecular Function)</w:t>
      </w:r>
    </w:p>
    <w:p w:rsidR="00373F44" w:rsidRPr="006527D3" w:rsidRDefault="00373F44" w:rsidP="00911A15">
      <w:pPr>
        <w:pStyle w:val="a3"/>
        <w:spacing w:line="360" w:lineRule="auto"/>
        <w:rPr>
          <w:rFonts w:ascii="Times New Roman" w:hAnsi="Times New Roman" w:cs="Times New Roman"/>
          <w:sz w:val="22"/>
        </w:rPr>
      </w:pPr>
      <w:r w:rsidRPr="006527D3">
        <w:rPr>
          <w:rFonts w:ascii="Times New Roman" w:hAnsi="Times New Roman" w:cs="Times New Roman"/>
          <w:sz w:val="22"/>
        </w:rPr>
        <w:t>ADNI_CFG: differentially expressed gene (DEG) with CFG score &gt; 3 in the ADNI</w:t>
      </w:r>
    </w:p>
    <w:p w:rsidR="00373F44" w:rsidRPr="006527D3" w:rsidRDefault="00373F44" w:rsidP="00911A15">
      <w:pPr>
        <w:pStyle w:val="a3"/>
        <w:spacing w:line="360" w:lineRule="auto"/>
        <w:rPr>
          <w:rFonts w:ascii="Times New Roman" w:hAnsi="Times New Roman" w:cs="Times New Roman"/>
          <w:sz w:val="22"/>
        </w:rPr>
      </w:pPr>
      <w:r w:rsidRPr="006527D3">
        <w:rPr>
          <w:rFonts w:ascii="Times New Roman" w:eastAsia="맑은 고딕" w:hAnsi="Times New Roman" w:cs="Times New Roman"/>
          <w:color w:val="000000"/>
          <w:sz w:val="22"/>
        </w:rPr>
        <w:t>ANM1</w:t>
      </w:r>
      <w:r w:rsidRPr="006527D3">
        <w:rPr>
          <w:rFonts w:ascii="Times New Roman" w:hAnsi="Times New Roman" w:cs="Times New Roman"/>
          <w:sz w:val="22"/>
        </w:rPr>
        <w:t>: DEG in the ANM1</w:t>
      </w:r>
    </w:p>
    <w:p w:rsidR="00373F44" w:rsidRPr="006527D3" w:rsidRDefault="00373F44" w:rsidP="00911A15">
      <w:pPr>
        <w:pStyle w:val="a3"/>
        <w:spacing w:line="360" w:lineRule="auto"/>
        <w:rPr>
          <w:rFonts w:ascii="Times New Roman" w:hAnsi="Times New Roman" w:cs="Times New Roman"/>
          <w:sz w:val="22"/>
        </w:rPr>
      </w:pPr>
      <w:r w:rsidRPr="006527D3">
        <w:rPr>
          <w:rFonts w:ascii="Times New Roman" w:hAnsi="Times New Roman" w:cs="Times New Roman"/>
          <w:sz w:val="22"/>
        </w:rPr>
        <w:t>ANM1_CFG: differentially expressed gene (DEG) with CFG score &gt; 3 in the ANM1</w:t>
      </w:r>
    </w:p>
    <w:p w:rsidR="00373F44" w:rsidRPr="006527D3" w:rsidRDefault="00373F44" w:rsidP="00911A15">
      <w:pPr>
        <w:pStyle w:val="a3"/>
        <w:spacing w:line="360" w:lineRule="auto"/>
        <w:rPr>
          <w:rFonts w:ascii="Times New Roman" w:hAnsi="Times New Roman" w:cs="Times New Roman"/>
          <w:sz w:val="22"/>
        </w:rPr>
      </w:pPr>
      <w:r w:rsidRPr="006527D3">
        <w:rPr>
          <w:rFonts w:ascii="Times New Roman" w:eastAsia="맑은 고딕" w:hAnsi="Times New Roman" w:cs="Times New Roman"/>
          <w:color w:val="000000"/>
          <w:sz w:val="22"/>
        </w:rPr>
        <w:t>ANM2</w:t>
      </w:r>
      <w:r w:rsidRPr="006527D3">
        <w:rPr>
          <w:rFonts w:ascii="Times New Roman" w:hAnsi="Times New Roman" w:cs="Times New Roman"/>
          <w:sz w:val="22"/>
        </w:rPr>
        <w:t>: DEG in the ANM2</w:t>
      </w:r>
    </w:p>
    <w:p w:rsidR="00373F44" w:rsidRPr="006527D3" w:rsidRDefault="00373F44" w:rsidP="00911A15">
      <w:pPr>
        <w:pStyle w:val="a3"/>
        <w:spacing w:line="360" w:lineRule="auto"/>
        <w:rPr>
          <w:rFonts w:ascii="Times New Roman" w:hAnsi="Times New Roman" w:cs="Times New Roman"/>
          <w:sz w:val="22"/>
        </w:rPr>
      </w:pPr>
      <w:r w:rsidRPr="006527D3">
        <w:rPr>
          <w:rFonts w:ascii="Times New Roman" w:hAnsi="Times New Roman" w:cs="Times New Roman"/>
          <w:sz w:val="22"/>
        </w:rPr>
        <w:t>ANM2_CFG: differentially expressed gene (DEG) with CFG score &gt; 3 in the ANM2</w:t>
      </w:r>
    </w:p>
    <w:p w:rsidR="00FA7CB3" w:rsidRPr="006527D3" w:rsidRDefault="00FA7CB3" w:rsidP="00FA7CB3">
      <w:pPr>
        <w:pStyle w:val="a3"/>
        <w:spacing w:line="360" w:lineRule="auto"/>
        <w:rPr>
          <w:rFonts w:ascii="Times New Roman" w:hAnsi="Times New Roman" w:cs="Times New Roman"/>
          <w:sz w:val="22"/>
        </w:rPr>
      </w:pPr>
      <w:r w:rsidRPr="006527D3">
        <w:rPr>
          <w:rFonts w:ascii="Times New Roman" w:hAnsi="Times New Roman" w:cs="Times New Roman"/>
          <w:b/>
          <w:sz w:val="22"/>
        </w:rPr>
        <w:t xml:space="preserve">Supplementary Table </w:t>
      </w:r>
      <w:r>
        <w:rPr>
          <w:rFonts w:ascii="Times New Roman" w:hAnsi="Times New Roman" w:cs="Times New Roman"/>
          <w:b/>
          <w:sz w:val="22"/>
        </w:rPr>
        <w:t>8</w:t>
      </w:r>
      <w:r w:rsidRPr="006527D3">
        <w:rPr>
          <w:rFonts w:ascii="Times New Roman" w:hAnsi="Times New Roman" w:cs="Times New Roman"/>
          <w:b/>
          <w:sz w:val="22"/>
        </w:rPr>
        <w:t>:</w:t>
      </w:r>
      <w:r w:rsidRPr="006527D3">
        <w:rPr>
          <w:rFonts w:ascii="Times New Roman" w:hAnsi="Times New Roman" w:cs="Times New Roman"/>
          <w:sz w:val="22"/>
        </w:rPr>
        <w:t xml:space="preserve"> </w:t>
      </w:r>
      <w:r w:rsidR="009E16DA">
        <w:rPr>
          <w:rFonts w:ascii="Times New Roman" w:hAnsi="Times New Roman" w:cs="Times New Roman"/>
          <w:sz w:val="22"/>
        </w:rPr>
        <w:t>Enriched pathways by common DEGs between blood and brain AD datasets.</w:t>
      </w:r>
      <w:r w:rsidRPr="006527D3">
        <w:rPr>
          <w:rFonts w:ascii="Times New Roman" w:hAnsi="Times New Roman" w:cs="Times New Roman"/>
          <w:sz w:val="22"/>
        </w:rPr>
        <w:t xml:space="preserve"> </w:t>
      </w:r>
    </w:p>
    <w:p w:rsidR="00373F44" w:rsidRPr="00FA7CB3" w:rsidRDefault="00373F44" w:rsidP="00005C0F">
      <w:pPr>
        <w:pStyle w:val="a3"/>
        <w:spacing w:line="360" w:lineRule="auto"/>
        <w:rPr>
          <w:rFonts w:ascii="Times New Roman" w:hAnsi="Times New Roman"/>
          <w:sz w:val="22"/>
        </w:rPr>
      </w:pPr>
    </w:p>
    <w:p w:rsidR="00A85B54" w:rsidRDefault="00A85B54" w:rsidP="00005C0F">
      <w:pPr>
        <w:pStyle w:val="a3"/>
        <w:spacing w:line="360" w:lineRule="auto"/>
        <w:rPr>
          <w:rFonts w:ascii="Times New Roman" w:hAnsi="Times New Roman"/>
          <w:sz w:val="22"/>
        </w:rPr>
      </w:pPr>
    </w:p>
    <w:p w:rsidR="00A85B54" w:rsidRDefault="00A85B54" w:rsidP="00005C0F">
      <w:pPr>
        <w:pStyle w:val="a3"/>
        <w:spacing w:line="360" w:lineRule="auto"/>
        <w:rPr>
          <w:rFonts w:ascii="Times New Roman" w:hAnsi="Times New Roman"/>
          <w:sz w:val="22"/>
        </w:rPr>
      </w:pPr>
    </w:p>
    <w:p w:rsidR="00A85B54" w:rsidRDefault="00A85B54" w:rsidP="00005C0F">
      <w:pPr>
        <w:pStyle w:val="a3"/>
        <w:spacing w:line="360" w:lineRule="auto"/>
        <w:rPr>
          <w:rFonts w:ascii="Times New Roman" w:hAnsi="Times New Roman"/>
          <w:sz w:val="22"/>
        </w:rPr>
      </w:pPr>
    </w:p>
    <w:p w:rsidR="00A85B54" w:rsidRDefault="00A85B54" w:rsidP="00005C0F">
      <w:pPr>
        <w:pStyle w:val="a3"/>
        <w:spacing w:line="360" w:lineRule="auto"/>
        <w:rPr>
          <w:rFonts w:ascii="Times New Roman" w:hAnsi="Times New Roman"/>
          <w:sz w:val="22"/>
        </w:rPr>
      </w:pPr>
    </w:p>
    <w:p w:rsidR="00A85B54" w:rsidRDefault="00A85B54" w:rsidP="00005C0F">
      <w:pPr>
        <w:pStyle w:val="a3"/>
        <w:spacing w:line="360" w:lineRule="auto"/>
        <w:rPr>
          <w:rFonts w:ascii="Times New Roman" w:hAnsi="Times New Roman"/>
          <w:sz w:val="22"/>
        </w:rPr>
      </w:pPr>
    </w:p>
    <w:p w:rsidR="00A85B54" w:rsidRDefault="00A85B54" w:rsidP="00005C0F">
      <w:pPr>
        <w:pStyle w:val="a3"/>
        <w:spacing w:line="360" w:lineRule="auto"/>
        <w:rPr>
          <w:rFonts w:ascii="Times New Roman" w:hAnsi="Times New Roman"/>
          <w:sz w:val="22"/>
        </w:rPr>
      </w:pPr>
    </w:p>
    <w:p w:rsidR="00A85B54" w:rsidRDefault="00A85B54" w:rsidP="00005C0F">
      <w:pPr>
        <w:pStyle w:val="a3"/>
        <w:spacing w:line="360" w:lineRule="auto"/>
        <w:rPr>
          <w:rFonts w:ascii="Times New Roman" w:hAnsi="Times New Roman"/>
          <w:sz w:val="22"/>
        </w:rPr>
      </w:pPr>
    </w:p>
    <w:p w:rsidR="00A85B54" w:rsidRDefault="00A85B54" w:rsidP="00005C0F">
      <w:pPr>
        <w:pStyle w:val="a3"/>
        <w:spacing w:line="360" w:lineRule="auto"/>
        <w:rPr>
          <w:rFonts w:ascii="Times New Roman" w:hAnsi="Times New Roman"/>
          <w:sz w:val="22"/>
        </w:rPr>
      </w:pPr>
    </w:p>
    <w:p w:rsidR="00A85B54" w:rsidRDefault="00A85B54" w:rsidP="00005C0F">
      <w:pPr>
        <w:pStyle w:val="a3"/>
        <w:spacing w:line="360" w:lineRule="auto"/>
        <w:rPr>
          <w:rFonts w:ascii="Times New Roman" w:hAnsi="Times New Roman"/>
          <w:sz w:val="22"/>
        </w:rPr>
      </w:pPr>
    </w:p>
    <w:p w:rsidR="00A85B54" w:rsidRDefault="00A85B54" w:rsidP="00005C0F">
      <w:pPr>
        <w:pStyle w:val="a3"/>
        <w:spacing w:line="360" w:lineRule="auto"/>
        <w:rPr>
          <w:rFonts w:ascii="Times New Roman" w:hAnsi="Times New Roman"/>
          <w:sz w:val="22"/>
        </w:rPr>
      </w:pPr>
    </w:p>
    <w:p w:rsidR="00A85B54" w:rsidRDefault="00A85B54" w:rsidP="00005C0F">
      <w:pPr>
        <w:pStyle w:val="a3"/>
        <w:spacing w:line="360" w:lineRule="auto"/>
        <w:rPr>
          <w:rFonts w:ascii="Times New Roman" w:hAnsi="Times New Roman"/>
          <w:sz w:val="22"/>
        </w:rPr>
      </w:pPr>
    </w:p>
    <w:p w:rsidR="00DA1CE2" w:rsidRDefault="00DA1CE2" w:rsidP="00005C0F">
      <w:pPr>
        <w:pStyle w:val="a3"/>
        <w:spacing w:line="360" w:lineRule="auto"/>
        <w:rPr>
          <w:rFonts w:ascii="Times New Roman" w:hAnsi="Times New Roman"/>
          <w:sz w:val="22"/>
        </w:rPr>
      </w:pPr>
    </w:p>
    <w:p w:rsidR="00DA1CE2" w:rsidRDefault="00DA1CE2" w:rsidP="00005C0F">
      <w:pPr>
        <w:pStyle w:val="a3"/>
        <w:spacing w:line="360" w:lineRule="auto"/>
        <w:rPr>
          <w:rFonts w:ascii="Times New Roman" w:hAnsi="Times New Roman"/>
          <w:sz w:val="22"/>
        </w:rPr>
      </w:pPr>
    </w:p>
    <w:p w:rsidR="00373F44" w:rsidRPr="000B5CF8" w:rsidRDefault="00373F44" w:rsidP="00005C0F">
      <w:pPr>
        <w:pStyle w:val="a3"/>
        <w:spacing w:line="360" w:lineRule="auto"/>
        <w:rPr>
          <w:rFonts w:ascii="Times New Roman" w:hAnsi="Times New Roman"/>
          <w:b/>
          <w:sz w:val="24"/>
        </w:rPr>
      </w:pPr>
      <w:bookmarkStart w:id="0" w:name="_GoBack"/>
      <w:bookmarkEnd w:id="0"/>
      <w:r w:rsidRPr="000B5CF8">
        <w:rPr>
          <w:rFonts w:ascii="Times New Roman" w:hAnsi="Times New Roman" w:hint="eastAsia"/>
          <w:b/>
          <w:sz w:val="24"/>
        </w:rPr>
        <w:lastRenderedPageBreak/>
        <w:t>S</w:t>
      </w:r>
      <w:r w:rsidRPr="000B5CF8">
        <w:rPr>
          <w:rFonts w:ascii="Times New Roman" w:hAnsi="Times New Roman"/>
          <w:b/>
          <w:sz w:val="24"/>
        </w:rPr>
        <w:t>upplementary Figures</w:t>
      </w:r>
    </w:p>
    <w:p w:rsidR="00373F44" w:rsidRPr="006527D3" w:rsidRDefault="00373F44" w:rsidP="00005C0F">
      <w:pPr>
        <w:pStyle w:val="a3"/>
        <w:spacing w:line="360" w:lineRule="auto"/>
        <w:rPr>
          <w:rFonts w:ascii="Times New Roman" w:hAnsi="Times New Roman"/>
          <w:sz w:val="22"/>
        </w:rPr>
      </w:pPr>
      <w:r w:rsidRPr="006527D3">
        <w:rPr>
          <w:rFonts w:ascii="Times New Roman" w:hAnsi="Times New Roman"/>
          <w:b/>
          <w:sz w:val="22"/>
        </w:rPr>
        <w:t>Supplement Figure 1.</w:t>
      </w:r>
      <w:r w:rsidRPr="006527D3">
        <w:rPr>
          <w:rFonts w:ascii="Times New Roman" w:hAnsi="Times New Roman"/>
          <w:sz w:val="22"/>
        </w:rPr>
        <w:t xml:space="preserve"> Overall framework of VAE </w:t>
      </w:r>
    </w:p>
    <w:p w:rsidR="00373F44" w:rsidRPr="006527D3" w:rsidRDefault="00373F44" w:rsidP="00005C0F">
      <w:pPr>
        <w:pStyle w:val="a3"/>
        <w:spacing w:line="360" w:lineRule="auto"/>
        <w:rPr>
          <w:rFonts w:ascii="Times New Roman" w:hAnsi="Times New Roman"/>
          <w:sz w:val="22"/>
        </w:rPr>
      </w:pPr>
      <w:r w:rsidRPr="006527D3">
        <w:rPr>
          <w:rFonts w:ascii="Times New Roman" w:hAnsi="Times New Roman"/>
          <w:sz w:val="22"/>
        </w:rPr>
        <w:t>(A)</w:t>
      </w:r>
      <w:r w:rsidR="00EC50E6">
        <w:rPr>
          <w:rFonts w:ascii="Times New Roman" w:hAnsi="Times New Roman"/>
          <w:sz w:val="22"/>
        </w:rPr>
        <w:t xml:space="preserve"> </w:t>
      </w:r>
      <w:r w:rsidRPr="006527D3">
        <w:rPr>
          <w:rFonts w:ascii="Times New Roman" w:hAnsi="Times New Roman"/>
          <w:sz w:val="22"/>
        </w:rPr>
        <w:t>Structure of VAE</w:t>
      </w:r>
      <w:r w:rsidR="00EC50E6">
        <w:rPr>
          <w:rFonts w:ascii="Times New Roman" w:hAnsi="Times New Roman"/>
          <w:sz w:val="22"/>
        </w:rPr>
        <w:t>.</w:t>
      </w:r>
      <w:r w:rsidRPr="006527D3">
        <w:rPr>
          <w:rFonts w:ascii="Times New Roman" w:hAnsi="Times New Roman" w:hint="eastAsia"/>
          <w:sz w:val="22"/>
        </w:rPr>
        <w:t xml:space="preserve"> (B) </w:t>
      </w:r>
      <w:r w:rsidRPr="006527D3">
        <w:rPr>
          <w:rFonts w:ascii="Times New Roman" w:hAnsi="Times New Roman"/>
          <w:sz w:val="22"/>
        </w:rPr>
        <w:t xml:space="preserve">distribution of expression of randomly selected 412 genes. (C) distribution of 150 values shrunken from the 412 genes by VAE. (D) Correlational plot between original expression values and reconstructed values from the 150 features. </w:t>
      </w:r>
    </w:p>
    <w:p w:rsidR="00373F44" w:rsidRDefault="00373F44" w:rsidP="00005C0F">
      <w:pPr>
        <w:pStyle w:val="a3"/>
        <w:spacing w:line="360" w:lineRule="auto"/>
        <w:rPr>
          <w:rFonts w:ascii="Times New Roman" w:hAnsi="Times New Roman"/>
          <w:sz w:val="22"/>
        </w:rPr>
      </w:pPr>
      <w:r w:rsidRPr="006527D3">
        <w:rPr>
          <w:rFonts w:ascii="Times New Roman" w:hAnsi="Times New Roman" w:hint="eastAsia"/>
          <w:sz w:val="22"/>
        </w:rPr>
        <w:t xml:space="preserve">VAE, </w:t>
      </w:r>
      <w:r w:rsidRPr="006527D3">
        <w:rPr>
          <w:rFonts w:ascii="Times New Roman" w:hAnsi="Times New Roman"/>
          <w:sz w:val="22"/>
        </w:rPr>
        <w:t>Variational autoencoder</w:t>
      </w:r>
    </w:p>
    <w:p w:rsidR="003D187B" w:rsidRDefault="003D187B" w:rsidP="00005C0F">
      <w:pPr>
        <w:pStyle w:val="a3"/>
        <w:spacing w:line="360" w:lineRule="auto"/>
        <w:rPr>
          <w:rFonts w:ascii="Times New Roman" w:hAnsi="Times New Roman"/>
          <w:sz w:val="22"/>
        </w:rPr>
      </w:pPr>
      <w:r>
        <w:rPr>
          <w:noProof/>
        </w:rPr>
        <w:drawing>
          <wp:inline distT="0" distB="0" distL="0" distR="0" wp14:anchorId="27D7BA9D" wp14:editId="760806E0">
            <wp:extent cx="5731510" cy="377317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73170"/>
                    </a:xfrm>
                    <a:prstGeom prst="rect">
                      <a:avLst/>
                    </a:prstGeom>
                  </pic:spPr>
                </pic:pic>
              </a:graphicData>
            </a:graphic>
          </wp:inline>
        </w:drawing>
      </w:r>
    </w:p>
    <w:p w:rsidR="003D187B" w:rsidRDefault="003D187B" w:rsidP="00005C0F">
      <w:pPr>
        <w:pStyle w:val="a3"/>
        <w:spacing w:line="360" w:lineRule="auto"/>
        <w:rPr>
          <w:rFonts w:ascii="Times New Roman" w:hAnsi="Times New Roman"/>
          <w:sz w:val="22"/>
        </w:rPr>
      </w:pPr>
    </w:p>
    <w:p w:rsidR="00DA1CE2" w:rsidRDefault="00DA1CE2" w:rsidP="00005C0F">
      <w:pPr>
        <w:pStyle w:val="a3"/>
        <w:spacing w:line="360" w:lineRule="auto"/>
        <w:rPr>
          <w:rFonts w:ascii="Times New Roman" w:hAnsi="Times New Roman"/>
          <w:sz w:val="22"/>
        </w:rPr>
      </w:pPr>
    </w:p>
    <w:p w:rsidR="00DA1CE2" w:rsidRDefault="00DA1CE2" w:rsidP="00005C0F">
      <w:pPr>
        <w:pStyle w:val="a3"/>
        <w:spacing w:line="360" w:lineRule="auto"/>
        <w:rPr>
          <w:rFonts w:ascii="Times New Roman" w:hAnsi="Times New Roman"/>
          <w:sz w:val="22"/>
        </w:rPr>
      </w:pPr>
    </w:p>
    <w:p w:rsidR="00A85B54" w:rsidRDefault="00A85B54" w:rsidP="00005C0F">
      <w:pPr>
        <w:pStyle w:val="a3"/>
        <w:spacing w:line="360" w:lineRule="auto"/>
        <w:rPr>
          <w:rFonts w:ascii="Times New Roman" w:hAnsi="Times New Roman"/>
          <w:sz w:val="22"/>
        </w:rPr>
      </w:pPr>
    </w:p>
    <w:p w:rsidR="00A85B54" w:rsidRDefault="00A85B54" w:rsidP="00005C0F">
      <w:pPr>
        <w:pStyle w:val="a3"/>
        <w:spacing w:line="360" w:lineRule="auto"/>
        <w:rPr>
          <w:rFonts w:ascii="Times New Roman" w:hAnsi="Times New Roman"/>
          <w:sz w:val="22"/>
        </w:rPr>
      </w:pPr>
    </w:p>
    <w:p w:rsidR="00A85B54" w:rsidRDefault="00A85B54" w:rsidP="00005C0F">
      <w:pPr>
        <w:pStyle w:val="a3"/>
        <w:spacing w:line="360" w:lineRule="auto"/>
        <w:rPr>
          <w:rFonts w:ascii="Times New Roman" w:hAnsi="Times New Roman"/>
          <w:sz w:val="22"/>
        </w:rPr>
      </w:pPr>
    </w:p>
    <w:p w:rsidR="00A85B54" w:rsidRDefault="00A85B54" w:rsidP="00005C0F">
      <w:pPr>
        <w:pStyle w:val="a3"/>
        <w:spacing w:line="360" w:lineRule="auto"/>
        <w:rPr>
          <w:rFonts w:ascii="Times New Roman" w:hAnsi="Times New Roman"/>
          <w:sz w:val="22"/>
        </w:rPr>
      </w:pPr>
    </w:p>
    <w:p w:rsidR="00A85B54" w:rsidRDefault="00A85B54" w:rsidP="00005C0F">
      <w:pPr>
        <w:pStyle w:val="a3"/>
        <w:spacing w:line="360" w:lineRule="auto"/>
        <w:rPr>
          <w:rFonts w:ascii="Times New Roman" w:hAnsi="Times New Roman"/>
          <w:sz w:val="22"/>
        </w:rPr>
      </w:pPr>
    </w:p>
    <w:p w:rsidR="00A85B54" w:rsidRDefault="00A85B54" w:rsidP="00005C0F">
      <w:pPr>
        <w:pStyle w:val="a3"/>
        <w:spacing w:line="360" w:lineRule="auto"/>
        <w:rPr>
          <w:rFonts w:ascii="Times New Roman" w:hAnsi="Times New Roman"/>
          <w:sz w:val="22"/>
        </w:rPr>
      </w:pPr>
    </w:p>
    <w:p w:rsidR="00A85B54" w:rsidRDefault="00A85B54" w:rsidP="00005C0F">
      <w:pPr>
        <w:pStyle w:val="a3"/>
        <w:spacing w:line="360" w:lineRule="auto"/>
        <w:rPr>
          <w:rFonts w:ascii="Times New Roman" w:hAnsi="Times New Roman"/>
          <w:sz w:val="22"/>
        </w:rPr>
      </w:pPr>
    </w:p>
    <w:p w:rsidR="00A85B54" w:rsidRDefault="00A85B54" w:rsidP="00005C0F">
      <w:pPr>
        <w:pStyle w:val="a3"/>
        <w:spacing w:line="360" w:lineRule="auto"/>
        <w:rPr>
          <w:rFonts w:ascii="Times New Roman" w:hAnsi="Times New Roman"/>
          <w:sz w:val="22"/>
        </w:rPr>
      </w:pPr>
    </w:p>
    <w:p w:rsidR="00A85B54" w:rsidRDefault="00A85B54" w:rsidP="00005C0F">
      <w:pPr>
        <w:pStyle w:val="a3"/>
        <w:spacing w:line="360" w:lineRule="auto"/>
        <w:rPr>
          <w:rFonts w:ascii="Times New Roman" w:hAnsi="Times New Roman"/>
          <w:sz w:val="22"/>
        </w:rPr>
      </w:pPr>
    </w:p>
    <w:p w:rsidR="00A85B54" w:rsidRDefault="00A85B54" w:rsidP="00005C0F">
      <w:pPr>
        <w:pStyle w:val="a3"/>
        <w:spacing w:line="360" w:lineRule="auto"/>
        <w:rPr>
          <w:rFonts w:ascii="Times New Roman" w:hAnsi="Times New Roman"/>
          <w:sz w:val="22"/>
        </w:rPr>
      </w:pPr>
    </w:p>
    <w:p w:rsidR="00A85B54" w:rsidRPr="006527D3" w:rsidRDefault="00A85B54" w:rsidP="00005C0F">
      <w:pPr>
        <w:pStyle w:val="a3"/>
        <w:spacing w:line="360" w:lineRule="auto"/>
        <w:rPr>
          <w:rFonts w:ascii="Times New Roman" w:hAnsi="Times New Roman"/>
          <w:sz w:val="22"/>
        </w:rPr>
      </w:pPr>
    </w:p>
    <w:p w:rsidR="00A85B54" w:rsidRDefault="00373F44" w:rsidP="00A85B54">
      <w:pPr>
        <w:pStyle w:val="a3"/>
        <w:spacing w:line="360" w:lineRule="auto"/>
        <w:rPr>
          <w:rFonts w:ascii="Times New Roman" w:hAnsi="Times New Roman"/>
          <w:sz w:val="22"/>
        </w:rPr>
      </w:pPr>
      <w:r w:rsidRPr="006527D3">
        <w:rPr>
          <w:rFonts w:ascii="Times New Roman" w:hAnsi="Times New Roman"/>
          <w:b/>
          <w:sz w:val="22"/>
        </w:rPr>
        <w:lastRenderedPageBreak/>
        <w:t>Supplement Figure 2.</w:t>
      </w:r>
      <w:r w:rsidRPr="006527D3">
        <w:rPr>
          <w:rFonts w:ascii="Times New Roman" w:hAnsi="Times New Roman"/>
          <w:sz w:val="22"/>
        </w:rPr>
        <w:t xml:space="preserve"> Selected genes in L1-LR as λ. Abbreviations: L1-LR, L1-regularized logistic regression.</w:t>
      </w:r>
    </w:p>
    <w:p w:rsidR="003D187B" w:rsidRDefault="003D187B" w:rsidP="003D187B">
      <w:pPr>
        <w:pStyle w:val="a3"/>
        <w:spacing w:line="360" w:lineRule="auto"/>
        <w:jc w:val="center"/>
        <w:rPr>
          <w:rFonts w:ascii="Times New Roman" w:hAnsi="Times New Roman"/>
          <w:sz w:val="22"/>
        </w:rPr>
      </w:pPr>
      <w:r>
        <w:rPr>
          <w:noProof/>
        </w:rPr>
        <w:drawing>
          <wp:inline distT="0" distB="0" distL="0" distR="0" wp14:anchorId="66456B33" wp14:editId="60C7F0AA">
            <wp:extent cx="4195024" cy="3628474"/>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1021" cy="3676908"/>
                    </a:xfrm>
                    <a:prstGeom prst="rect">
                      <a:avLst/>
                    </a:prstGeom>
                  </pic:spPr>
                </pic:pic>
              </a:graphicData>
            </a:graphic>
          </wp:inline>
        </w:drawing>
      </w:r>
    </w:p>
    <w:p w:rsidR="00A85B54" w:rsidRDefault="00A85B54" w:rsidP="003D187B">
      <w:pPr>
        <w:pStyle w:val="a3"/>
        <w:spacing w:line="360" w:lineRule="auto"/>
        <w:jc w:val="center"/>
        <w:rPr>
          <w:rFonts w:ascii="Times New Roman" w:hAnsi="Times New Roman"/>
          <w:sz w:val="22"/>
        </w:rPr>
      </w:pPr>
    </w:p>
    <w:p w:rsidR="00615944" w:rsidRDefault="00615944" w:rsidP="00615944">
      <w:pPr>
        <w:pStyle w:val="a3"/>
        <w:spacing w:line="360" w:lineRule="auto"/>
        <w:rPr>
          <w:rFonts w:ascii="Times New Roman" w:hAnsi="Times New Roman"/>
          <w:sz w:val="22"/>
        </w:rPr>
      </w:pPr>
      <w:r w:rsidRPr="006527D3">
        <w:rPr>
          <w:rFonts w:ascii="Times New Roman" w:hAnsi="Times New Roman"/>
          <w:b/>
          <w:sz w:val="22"/>
        </w:rPr>
        <w:t xml:space="preserve">Supplement Figure </w:t>
      </w:r>
      <w:r w:rsidR="00FC2E3E">
        <w:rPr>
          <w:rFonts w:ascii="Times New Roman" w:hAnsi="Times New Roman"/>
          <w:b/>
          <w:sz w:val="22"/>
        </w:rPr>
        <w:t>3</w:t>
      </w:r>
      <w:r w:rsidRPr="006527D3">
        <w:rPr>
          <w:rFonts w:ascii="Times New Roman" w:hAnsi="Times New Roman"/>
          <w:b/>
          <w:sz w:val="22"/>
        </w:rPr>
        <w:t>.</w:t>
      </w:r>
      <w:r w:rsidRPr="006527D3">
        <w:rPr>
          <w:rFonts w:ascii="Times New Roman" w:hAnsi="Times New Roman"/>
          <w:sz w:val="22"/>
        </w:rPr>
        <w:t xml:space="preserve"> Comparison of classifying performances before and after adjustment of age and gender.</w:t>
      </w:r>
    </w:p>
    <w:p w:rsidR="00AC5E5A" w:rsidRPr="006527D3" w:rsidRDefault="00AC5E5A" w:rsidP="00AC5E5A">
      <w:pPr>
        <w:pStyle w:val="a3"/>
        <w:spacing w:line="360" w:lineRule="auto"/>
        <w:jc w:val="center"/>
        <w:rPr>
          <w:rFonts w:ascii="Times New Roman" w:hAnsi="Times New Roman"/>
          <w:sz w:val="22"/>
        </w:rPr>
      </w:pPr>
      <w:r>
        <w:rPr>
          <w:noProof/>
        </w:rPr>
        <w:drawing>
          <wp:inline distT="0" distB="0" distL="0" distR="0" wp14:anchorId="01028291" wp14:editId="6D2DF794">
            <wp:extent cx="4464686" cy="323993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8787" cy="3250171"/>
                    </a:xfrm>
                    <a:prstGeom prst="rect">
                      <a:avLst/>
                    </a:prstGeom>
                  </pic:spPr>
                </pic:pic>
              </a:graphicData>
            </a:graphic>
          </wp:inline>
        </w:drawing>
      </w:r>
    </w:p>
    <w:p w:rsidR="00F53802" w:rsidRDefault="00F53802" w:rsidP="003D0B96">
      <w:pPr>
        <w:pStyle w:val="a3"/>
        <w:spacing w:line="360" w:lineRule="auto"/>
        <w:rPr>
          <w:rFonts w:ascii="Times New Roman" w:hAnsi="Times New Roman"/>
          <w:b/>
          <w:sz w:val="22"/>
        </w:rPr>
      </w:pPr>
    </w:p>
    <w:p w:rsidR="00F53802" w:rsidRDefault="00F53802" w:rsidP="003D0B96">
      <w:pPr>
        <w:pStyle w:val="a3"/>
        <w:spacing w:line="360" w:lineRule="auto"/>
        <w:rPr>
          <w:rFonts w:ascii="Times New Roman" w:hAnsi="Times New Roman"/>
          <w:b/>
          <w:sz w:val="22"/>
        </w:rPr>
      </w:pPr>
    </w:p>
    <w:p w:rsidR="00E255A8" w:rsidRDefault="00E255A8" w:rsidP="003D0B96">
      <w:pPr>
        <w:pStyle w:val="a3"/>
        <w:spacing w:line="360" w:lineRule="auto"/>
        <w:rPr>
          <w:rFonts w:ascii="Times New Roman" w:hAnsi="Times New Roman"/>
          <w:b/>
          <w:sz w:val="22"/>
        </w:rPr>
        <w:sectPr w:rsidR="00E255A8" w:rsidSect="00DA1CE2">
          <w:footerReference w:type="default" r:id="rId12"/>
          <w:pgSz w:w="11906" w:h="16838"/>
          <w:pgMar w:top="1701" w:right="1440" w:bottom="1440" w:left="1440" w:header="851" w:footer="170" w:gutter="0"/>
          <w:cols w:space="425"/>
          <w:docGrid w:linePitch="360"/>
        </w:sectPr>
      </w:pPr>
    </w:p>
    <w:p w:rsidR="003D0B96" w:rsidRPr="006527D3" w:rsidRDefault="003D0B96" w:rsidP="003D0B96">
      <w:pPr>
        <w:pStyle w:val="a3"/>
        <w:spacing w:line="360" w:lineRule="auto"/>
        <w:rPr>
          <w:rFonts w:ascii="Times New Roman" w:hAnsi="Times New Roman"/>
          <w:sz w:val="22"/>
        </w:rPr>
      </w:pPr>
      <w:r w:rsidRPr="006527D3">
        <w:rPr>
          <w:rFonts w:ascii="Times New Roman" w:hAnsi="Times New Roman"/>
          <w:b/>
          <w:sz w:val="22"/>
        </w:rPr>
        <w:lastRenderedPageBreak/>
        <w:t xml:space="preserve">Supplement Figure </w:t>
      </w:r>
      <w:r>
        <w:rPr>
          <w:rFonts w:ascii="Times New Roman" w:hAnsi="Times New Roman"/>
          <w:b/>
          <w:sz w:val="22"/>
        </w:rPr>
        <w:t>4</w:t>
      </w:r>
      <w:r w:rsidRPr="006527D3">
        <w:rPr>
          <w:rFonts w:ascii="Times New Roman" w:hAnsi="Times New Roman"/>
          <w:b/>
          <w:sz w:val="22"/>
        </w:rPr>
        <w:t>.</w:t>
      </w:r>
      <w:r w:rsidRPr="006527D3">
        <w:rPr>
          <w:rFonts w:ascii="Times New Roman" w:hAnsi="Times New Roman"/>
          <w:sz w:val="22"/>
        </w:rPr>
        <w:t xml:space="preserve"> Comparison of MCI and AD subjects.</w:t>
      </w:r>
    </w:p>
    <w:p w:rsidR="003D0B96" w:rsidRDefault="003D0B96" w:rsidP="003D0B96">
      <w:pPr>
        <w:pStyle w:val="a3"/>
        <w:spacing w:line="360" w:lineRule="auto"/>
        <w:rPr>
          <w:rFonts w:ascii="Times New Roman" w:hAnsi="Times New Roman"/>
          <w:sz w:val="22"/>
        </w:rPr>
      </w:pPr>
      <w:r w:rsidRPr="006527D3">
        <w:rPr>
          <w:rFonts w:ascii="Times New Roman" w:hAnsi="Times New Roman"/>
          <w:sz w:val="22"/>
        </w:rPr>
        <w:t>MCI, Mild cognitive impairment; AD, Alzheimer’s disease</w:t>
      </w:r>
    </w:p>
    <w:p w:rsidR="00DA1CE2" w:rsidRDefault="00E255A8" w:rsidP="00E255A8">
      <w:pPr>
        <w:pStyle w:val="a3"/>
        <w:spacing w:line="360" w:lineRule="auto"/>
        <w:jc w:val="center"/>
        <w:rPr>
          <w:rFonts w:ascii="Times New Roman" w:hAnsi="Times New Roman"/>
          <w:sz w:val="22"/>
        </w:rPr>
      </w:pPr>
      <w:r>
        <w:rPr>
          <w:noProof/>
        </w:rPr>
        <w:drawing>
          <wp:inline distT="0" distB="0" distL="0" distR="0" wp14:anchorId="41F6B615" wp14:editId="30B42749">
            <wp:extent cx="6572250" cy="5242653"/>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17"/>
                    <a:stretch/>
                  </pic:blipFill>
                  <pic:spPr bwMode="auto">
                    <a:xfrm>
                      <a:off x="0" y="0"/>
                      <a:ext cx="6598148" cy="5263311"/>
                    </a:xfrm>
                    <a:prstGeom prst="rect">
                      <a:avLst/>
                    </a:prstGeom>
                    <a:ln>
                      <a:noFill/>
                    </a:ln>
                    <a:extLst>
                      <a:ext uri="{53640926-AAD7-44D8-BBD7-CCE9431645EC}">
                        <a14:shadowObscured xmlns:a14="http://schemas.microsoft.com/office/drawing/2010/main"/>
                      </a:ext>
                    </a:extLst>
                  </pic:spPr>
                </pic:pic>
              </a:graphicData>
            </a:graphic>
          </wp:inline>
        </w:drawing>
      </w:r>
    </w:p>
    <w:p w:rsidR="00AC6A89" w:rsidRDefault="00AC6A89" w:rsidP="00005C0F">
      <w:pPr>
        <w:pStyle w:val="a3"/>
        <w:spacing w:line="360" w:lineRule="auto"/>
        <w:rPr>
          <w:rFonts w:ascii="Times New Roman" w:hAnsi="Times New Roman"/>
          <w:b/>
          <w:sz w:val="22"/>
        </w:rPr>
        <w:sectPr w:rsidR="00AC6A89" w:rsidSect="00E255A8">
          <w:pgSz w:w="16838" w:h="11906" w:orient="landscape"/>
          <w:pgMar w:top="1440" w:right="1701" w:bottom="1440" w:left="1440" w:header="851" w:footer="170" w:gutter="0"/>
          <w:cols w:space="425"/>
          <w:docGrid w:linePitch="360"/>
        </w:sectPr>
      </w:pPr>
    </w:p>
    <w:p w:rsidR="00373F44" w:rsidRDefault="00373F44" w:rsidP="00005C0F">
      <w:pPr>
        <w:pStyle w:val="a3"/>
        <w:spacing w:line="360" w:lineRule="auto"/>
        <w:rPr>
          <w:rFonts w:ascii="Times New Roman" w:hAnsi="Times New Roman"/>
          <w:sz w:val="22"/>
        </w:rPr>
      </w:pPr>
      <w:r w:rsidRPr="006527D3">
        <w:rPr>
          <w:rFonts w:ascii="Times New Roman" w:hAnsi="Times New Roman"/>
          <w:b/>
          <w:sz w:val="22"/>
        </w:rPr>
        <w:lastRenderedPageBreak/>
        <w:t xml:space="preserve">Supplement Figure </w:t>
      </w:r>
      <w:r w:rsidR="004816F0">
        <w:rPr>
          <w:rFonts w:ascii="Times New Roman" w:hAnsi="Times New Roman"/>
          <w:b/>
          <w:sz w:val="22"/>
        </w:rPr>
        <w:t>5</w:t>
      </w:r>
      <w:r w:rsidRPr="006527D3">
        <w:rPr>
          <w:rFonts w:ascii="Times New Roman" w:hAnsi="Times New Roman"/>
          <w:b/>
          <w:sz w:val="22"/>
        </w:rPr>
        <w:t>.</w:t>
      </w:r>
      <w:r w:rsidRPr="006527D3">
        <w:rPr>
          <w:rFonts w:ascii="Times New Roman" w:hAnsi="Times New Roman"/>
          <w:sz w:val="22"/>
        </w:rPr>
        <w:t xml:space="preserve"> Comparison of the log</w:t>
      </w:r>
      <w:r w:rsidRPr="006527D3">
        <w:rPr>
          <w:rFonts w:ascii="Times New Roman" w:hAnsi="Times New Roman"/>
          <w:sz w:val="22"/>
          <w:vertAlign w:val="subscript"/>
        </w:rPr>
        <w:t>2</w:t>
      </w:r>
      <w:r w:rsidRPr="006527D3">
        <w:rPr>
          <w:rFonts w:ascii="Times New Roman" w:hAnsi="Times New Roman"/>
          <w:sz w:val="22"/>
        </w:rPr>
        <w:t>(FC) signatures between CN and AD samples among different meta-analysis methods.</w:t>
      </w:r>
    </w:p>
    <w:p w:rsidR="0019755A" w:rsidRDefault="0019755A" w:rsidP="0019755A">
      <w:pPr>
        <w:pStyle w:val="a3"/>
        <w:spacing w:line="360" w:lineRule="auto"/>
        <w:jc w:val="center"/>
        <w:rPr>
          <w:rFonts w:ascii="Times New Roman" w:hAnsi="Times New Roman"/>
          <w:sz w:val="22"/>
        </w:rPr>
      </w:pPr>
      <w:r>
        <w:rPr>
          <w:noProof/>
        </w:rPr>
        <w:drawing>
          <wp:inline distT="0" distB="0" distL="0" distR="0" wp14:anchorId="36BF8FC5" wp14:editId="0142B5DE">
            <wp:extent cx="4710053" cy="42164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5693" cy="4221449"/>
                    </a:xfrm>
                    <a:prstGeom prst="rect">
                      <a:avLst/>
                    </a:prstGeom>
                  </pic:spPr>
                </pic:pic>
              </a:graphicData>
            </a:graphic>
          </wp:inline>
        </w:drawing>
      </w:r>
    </w:p>
    <w:p w:rsidR="0019755A" w:rsidRPr="006527D3" w:rsidRDefault="0019755A" w:rsidP="00005C0F">
      <w:pPr>
        <w:pStyle w:val="a3"/>
        <w:spacing w:line="360" w:lineRule="auto"/>
        <w:rPr>
          <w:rFonts w:ascii="Times New Roman" w:hAnsi="Times New Roman"/>
          <w:sz w:val="22"/>
        </w:rPr>
      </w:pPr>
    </w:p>
    <w:p w:rsidR="00373F44" w:rsidRDefault="00373F44" w:rsidP="00005C0F">
      <w:pPr>
        <w:pStyle w:val="a3"/>
        <w:spacing w:line="360" w:lineRule="auto"/>
        <w:rPr>
          <w:rFonts w:ascii="Times New Roman" w:hAnsi="Times New Roman"/>
          <w:sz w:val="22"/>
        </w:rPr>
      </w:pPr>
      <w:r w:rsidRPr="006527D3">
        <w:rPr>
          <w:rFonts w:ascii="Times New Roman" w:hAnsi="Times New Roman"/>
          <w:b/>
          <w:sz w:val="22"/>
        </w:rPr>
        <w:t xml:space="preserve">Supplement Figure </w:t>
      </w:r>
      <w:r w:rsidR="004816F0">
        <w:rPr>
          <w:rFonts w:ascii="Times New Roman" w:hAnsi="Times New Roman"/>
          <w:b/>
          <w:sz w:val="22"/>
        </w:rPr>
        <w:t>6</w:t>
      </w:r>
      <w:r w:rsidRPr="006527D3">
        <w:rPr>
          <w:rFonts w:ascii="Times New Roman" w:hAnsi="Times New Roman"/>
          <w:b/>
          <w:sz w:val="22"/>
        </w:rPr>
        <w:t>.</w:t>
      </w:r>
      <w:r w:rsidRPr="006527D3">
        <w:rPr>
          <w:rFonts w:ascii="Times New Roman" w:hAnsi="Times New Roman"/>
          <w:sz w:val="22"/>
        </w:rPr>
        <w:t xml:space="preserve"> DEGs Venn diagram and P-value for common genes among different meta-analysis methods.</w:t>
      </w:r>
    </w:p>
    <w:p w:rsidR="0019755A" w:rsidRDefault="0019755A" w:rsidP="00005C0F">
      <w:pPr>
        <w:pStyle w:val="a3"/>
        <w:spacing w:line="360" w:lineRule="auto"/>
        <w:rPr>
          <w:rFonts w:ascii="Times New Roman" w:hAnsi="Times New Roman"/>
          <w:sz w:val="22"/>
        </w:rPr>
      </w:pPr>
      <w:r>
        <w:rPr>
          <w:noProof/>
        </w:rPr>
        <w:drawing>
          <wp:inline distT="0" distB="0" distL="0" distR="0" wp14:anchorId="11C9329F" wp14:editId="352E5D97">
            <wp:extent cx="5731510" cy="216027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60270"/>
                    </a:xfrm>
                    <a:prstGeom prst="rect">
                      <a:avLst/>
                    </a:prstGeom>
                  </pic:spPr>
                </pic:pic>
              </a:graphicData>
            </a:graphic>
          </wp:inline>
        </w:drawing>
      </w:r>
    </w:p>
    <w:p w:rsidR="0019755A" w:rsidRDefault="0019755A" w:rsidP="00005C0F">
      <w:pPr>
        <w:pStyle w:val="a3"/>
        <w:spacing w:line="360" w:lineRule="auto"/>
        <w:rPr>
          <w:rFonts w:ascii="Times New Roman" w:hAnsi="Times New Roman"/>
          <w:sz w:val="22"/>
        </w:rPr>
      </w:pPr>
    </w:p>
    <w:p w:rsidR="0019755A" w:rsidRDefault="0019755A" w:rsidP="00005C0F">
      <w:pPr>
        <w:pStyle w:val="a3"/>
        <w:spacing w:line="360" w:lineRule="auto"/>
        <w:rPr>
          <w:rFonts w:ascii="Times New Roman" w:hAnsi="Times New Roman"/>
          <w:sz w:val="22"/>
        </w:rPr>
      </w:pPr>
    </w:p>
    <w:p w:rsidR="0019755A" w:rsidRDefault="0019755A" w:rsidP="00005C0F">
      <w:pPr>
        <w:pStyle w:val="a3"/>
        <w:spacing w:line="360" w:lineRule="auto"/>
        <w:rPr>
          <w:rFonts w:ascii="Times New Roman" w:hAnsi="Times New Roman"/>
          <w:sz w:val="22"/>
        </w:rPr>
      </w:pPr>
    </w:p>
    <w:p w:rsidR="0019755A" w:rsidRPr="006527D3" w:rsidRDefault="0019755A" w:rsidP="00005C0F">
      <w:pPr>
        <w:pStyle w:val="a3"/>
        <w:spacing w:line="360" w:lineRule="auto"/>
        <w:rPr>
          <w:rFonts w:ascii="Times New Roman" w:hAnsi="Times New Roman"/>
          <w:sz w:val="22"/>
        </w:rPr>
      </w:pPr>
    </w:p>
    <w:p w:rsidR="00373F44" w:rsidRPr="006527D3" w:rsidRDefault="00373F44" w:rsidP="00005C0F">
      <w:pPr>
        <w:pStyle w:val="a3"/>
        <w:spacing w:line="360" w:lineRule="auto"/>
        <w:rPr>
          <w:rFonts w:ascii="Times New Roman" w:hAnsi="Times New Roman"/>
          <w:sz w:val="22"/>
        </w:rPr>
      </w:pPr>
      <w:r w:rsidRPr="006527D3">
        <w:rPr>
          <w:rFonts w:ascii="Times New Roman" w:hAnsi="Times New Roman"/>
          <w:b/>
          <w:sz w:val="22"/>
        </w:rPr>
        <w:lastRenderedPageBreak/>
        <w:t xml:space="preserve">Supplement Figure </w:t>
      </w:r>
      <w:r w:rsidR="004816F0">
        <w:rPr>
          <w:rFonts w:ascii="Times New Roman" w:hAnsi="Times New Roman"/>
          <w:b/>
          <w:sz w:val="22"/>
        </w:rPr>
        <w:t>7</w:t>
      </w:r>
      <w:r w:rsidRPr="006527D3">
        <w:rPr>
          <w:rFonts w:ascii="Times New Roman" w:hAnsi="Times New Roman"/>
          <w:b/>
          <w:sz w:val="22"/>
        </w:rPr>
        <w:t>.</w:t>
      </w:r>
      <w:r w:rsidRPr="006527D3">
        <w:rPr>
          <w:rFonts w:ascii="Times New Roman" w:hAnsi="Times New Roman"/>
          <w:sz w:val="22"/>
        </w:rPr>
        <w:t xml:space="preserve"> Comparison of performance for classifying AD samples among different meta-analysis methods.</w:t>
      </w:r>
    </w:p>
    <w:p w:rsidR="00373F44" w:rsidRPr="00C67EE8" w:rsidRDefault="00C67EE8" w:rsidP="00C67EE8">
      <w:pPr>
        <w:pStyle w:val="a3"/>
        <w:spacing w:line="360" w:lineRule="auto"/>
        <w:jc w:val="center"/>
        <w:rPr>
          <w:rFonts w:ascii="Times New Roman" w:hAnsi="Times New Roman" w:cs="Times New Roman"/>
          <w:b/>
          <w:sz w:val="22"/>
        </w:rPr>
      </w:pPr>
      <w:r>
        <w:rPr>
          <w:noProof/>
        </w:rPr>
        <w:drawing>
          <wp:inline distT="0" distB="0" distL="0" distR="0" wp14:anchorId="7682855A" wp14:editId="728ACC1D">
            <wp:extent cx="4593590" cy="3332464"/>
            <wp:effectExtent l="0" t="0" r="0" b="190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4516" cy="3340390"/>
                    </a:xfrm>
                    <a:prstGeom prst="rect">
                      <a:avLst/>
                    </a:prstGeom>
                  </pic:spPr>
                </pic:pic>
              </a:graphicData>
            </a:graphic>
          </wp:inline>
        </w:drawing>
      </w:r>
    </w:p>
    <w:p w:rsidR="00C67EE8" w:rsidRDefault="00C67EE8" w:rsidP="00DD1FDE">
      <w:pPr>
        <w:pStyle w:val="a3"/>
        <w:spacing w:line="360" w:lineRule="auto"/>
        <w:rPr>
          <w:rFonts w:ascii="Times New Roman" w:hAnsi="Times New Roman" w:cs="Times New Roman"/>
          <w:b/>
          <w:sz w:val="24"/>
        </w:rPr>
      </w:pPr>
    </w:p>
    <w:p w:rsidR="00C67EE8" w:rsidRDefault="00C67EE8" w:rsidP="00DD1FDE">
      <w:pPr>
        <w:pStyle w:val="a3"/>
        <w:spacing w:line="360" w:lineRule="auto"/>
        <w:rPr>
          <w:rFonts w:ascii="Times New Roman" w:hAnsi="Times New Roman" w:cs="Times New Roman"/>
          <w:b/>
          <w:sz w:val="24"/>
        </w:rPr>
      </w:pPr>
    </w:p>
    <w:p w:rsidR="00373F44" w:rsidRPr="000B5CF8" w:rsidRDefault="00373F44" w:rsidP="00DD1FDE">
      <w:pPr>
        <w:pStyle w:val="a3"/>
        <w:spacing w:line="360" w:lineRule="auto"/>
        <w:rPr>
          <w:rFonts w:ascii="Times New Roman" w:hAnsi="Times New Roman" w:cs="Times New Roman"/>
          <w:sz w:val="24"/>
        </w:rPr>
      </w:pPr>
      <w:r w:rsidRPr="000B5CF8">
        <w:rPr>
          <w:rFonts w:ascii="Times New Roman" w:hAnsi="Times New Roman" w:cs="Times New Roman"/>
          <w:b/>
          <w:sz w:val="24"/>
        </w:rPr>
        <w:t>Related work</w:t>
      </w:r>
      <w:r w:rsidR="00E92C4A">
        <w:rPr>
          <w:rFonts w:ascii="Times New Roman" w:hAnsi="Times New Roman" w:cs="Times New Roman"/>
          <w:b/>
          <w:sz w:val="24"/>
        </w:rPr>
        <w:t>s</w:t>
      </w:r>
    </w:p>
    <w:p w:rsidR="00373F44" w:rsidRPr="006527D3" w:rsidRDefault="00373F44" w:rsidP="00DD1FDE">
      <w:pPr>
        <w:pStyle w:val="a3"/>
        <w:spacing w:line="360" w:lineRule="auto"/>
        <w:rPr>
          <w:rFonts w:ascii="Times New Roman" w:hAnsi="Times New Roman" w:cs="Times New Roman"/>
          <w:sz w:val="22"/>
        </w:rPr>
      </w:pPr>
      <w:r w:rsidRPr="006527D3">
        <w:rPr>
          <w:rFonts w:ascii="Times New Roman" w:hAnsi="Times New Roman" w:cs="Times New Roman"/>
          <w:sz w:val="22"/>
        </w:rPr>
        <w:t xml:space="preserve">In Table 1, we list previously published blood expression-based studies for the identification of patients with AD, especially focusing on machine learning (ML)-based studies. </w:t>
      </w:r>
      <w:proofErr w:type="spellStart"/>
      <w:r w:rsidRPr="006527D3">
        <w:rPr>
          <w:rFonts w:ascii="Times New Roman" w:hAnsi="Times New Roman" w:cs="Times New Roman"/>
          <w:sz w:val="22"/>
        </w:rPr>
        <w:t>Booij</w:t>
      </w:r>
      <w:proofErr w:type="spellEnd"/>
      <w:r w:rsidRPr="006527D3">
        <w:rPr>
          <w:rFonts w:ascii="Times New Roman" w:hAnsi="Times New Roman" w:cs="Times New Roman"/>
          <w:sz w:val="22"/>
        </w:rPr>
        <w:t xml:space="preserve"> et al. </w:t>
      </w:r>
      <w:r w:rsidRPr="006527D3">
        <w:rPr>
          <w:rFonts w:ascii="Times New Roman" w:hAnsi="Times New Roman" w:cs="Times New Roman"/>
          <w:noProof/>
          <w:sz w:val="22"/>
          <w:vertAlign w:val="superscript"/>
        </w:rPr>
        <w:t>1</w:t>
      </w:r>
      <w:r w:rsidRPr="006527D3">
        <w:rPr>
          <w:rFonts w:ascii="Times New Roman" w:hAnsi="Times New Roman" w:cs="Times New Roman"/>
          <w:sz w:val="22"/>
        </w:rPr>
        <w:t xml:space="preserve"> published a study consisting of 320 subjects with microarray-based gene expression data. The variable selection was performed via the Jack-knife and a double cross validation (CV) method minimizing overfitting, yielding a set of 1,239 significant genes. Using 1239 genes, partial least square regression (PLSR) was employed to distinguish AD patients from controls, yielding an accuracy of 0.87 and AUC of 0.94 for the AD classification.</w:t>
      </w:r>
    </w:p>
    <w:p w:rsidR="00373F44" w:rsidRPr="006527D3" w:rsidRDefault="00373F44" w:rsidP="00DD1FDE">
      <w:pPr>
        <w:pStyle w:val="a3"/>
        <w:spacing w:line="360" w:lineRule="auto"/>
        <w:rPr>
          <w:rFonts w:ascii="Times New Roman" w:hAnsi="Times New Roman" w:cs="Times New Roman"/>
          <w:sz w:val="22"/>
        </w:rPr>
      </w:pPr>
      <w:r w:rsidRPr="006527D3">
        <w:rPr>
          <w:rFonts w:ascii="Times New Roman" w:hAnsi="Times New Roman" w:cs="Times New Roman"/>
          <w:sz w:val="22"/>
        </w:rPr>
        <w:tab/>
      </w:r>
      <w:proofErr w:type="spellStart"/>
      <w:r w:rsidRPr="006527D3">
        <w:rPr>
          <w:rFonts w:ascii="Times New Roman" w:hAnsi="Times New Roman" w:cs="Times New Roman"/>
          <w:sz w:val="22"/>
        </w:rPr>
        <w:t>Lunnon</w:t>
      </w:r>
      <w:proofErr w:type="spellEnd"/>
      <w:r w:rsidRPr="006527D3">
        <w:rPr>
          <w:rFonts w:ascii="Times New Roman" w:hAnsi="Times New Roman" w:cs="Times New Roman"/>
          <w:sz w:val="22"/>
        </w:rPr>
        <w:t xml:space="preserve"> et al. </w:t>
      </w:r>
      <w:r w:rsidRPr="006527D3">
        <w:rPr>
          <w:rFonts w:ascii="Times New Roman" w:hAnsi="Times New Roman" w:cs="Times New Roman"/>
          <w:noProof/>
          <w:sz w:val="22"/>
          <w:vertAlign w:val="superscript"/>
        </w:rPr>
        <w:t>2</w:t>
      </w:r>
      <w:r w:rsidRPr="006527D3">
        <w:rPr>
          <w:rFonts w:ascii="Times New Roman" w:hAnsi="Times New Roman" w:cs="Times New Roman"/>
          <w:sz w:val="22"/>
        </w:rPr>
        <w:t xml:space="preserve"> published an article including 356 samples consisting of </w:t>
      </w:r>
      <w:r w:rsidR="00B606AE">
        <w:rPr>
          <w:rFonts w:ascii="Times New Roman" w:hAnsi="Times New Roman" w:cs="Times New Roman"/>
          <w:sz w:val="22"/>
        </w:rPr>
        <w:t>CN</w:t>
      </w:r>
      <w:r w:rsidRPr="006527D3">
        <w:rPr>
          <w:rFonts w:ascii="Times New Roman" w:hAnsi="Times New Roman" w:cs="Times New Roman"/>
          <w:sz w:val="22"/>
        </w:rPr>
        <w:t xml:space="preserve">, MCI, and AD cases with blood gene expression values from ANM. They initially performed a t-test using training samples, which generated 203 probes with q-values (FDR adjusted) &lt; 0.01. Out of the 203 probes, the 50 highly ranked probes were finally selected using the </w:t>
      </w:r>
      <w:proofErr w:type="spellStart"/>
      <w:r w:rsidRPr="006527D3">
        <w:rPr>
          <w:rFonts w:ascii="Times New Roman" w:hAnsi="Times New Roman" w:cs="Times New Roman"/>
          <w:sz w:val="22"/>
        </w:rPr>
        <w:t>Meng</w:t>
      </w:r>
      <w:proofErr w:type="spellEnd"/>
      <w:r w:rsidRPr="006527D3">
        <w:rPr>
          <w:rFonts w:ascii="Times New Roman" w:hAnsi="Times New Roman" w:cs="Times New Roman"/>
          <w:sz w:val="22"/>
        </w:rPr>
        <w:t xml:space="preserve"> score </w:t>
      </w:r>
      <w:r w:rsidRPr="006527D3">
        <w:rPr>
          <w:rFonts w:ascii="Times New Roman" w:hAnsi="Times New Roman" w:cs="Times New Roman"/>
          <w:noProof/>
          <w:sz w:val="22"/>
          <w:vertAlign w:val="superscript"/>
        </w:rPr>
        <w:t>3</w:t>
      </w:r>
      <w:r w:rsidRPr="006527D3">
        <w:rPr>
          <w:rFonts w:ascii="Times New Roman" w:hAnsi="Times New Roman" w:cs="Times New Roman"/>
          <w:sz w:val="22"/>
        </w:rPr>
        <w:t xml:space="preserve">. Then, these 50 probes were used as feature variables and the RF model was used as the classifying method, yielding correctly classified 39 / 52 samples with an accuracy of 0.75 </w:t>
      </w:r>
      <w:r w:rsidRPr="006527D3">
        <w:rPr>
          <w:rFonts w:ascii="Times New Roman" w:hAnsi="Times New Roman" w:cs="Times New Roman"/>
          <w:noProof/>
          <w:sz w:val="22"/>
          <w:vertAlign w:val="superscript"/>
        </w:rPr>
        <w:t>2</w:t>
      </w:r>
      <w:r w:rsidRPr="006527D3">
        <w:rPr>
          <w:rFonts w:ascii="Times New Roman" w:hAnsi="Times New Roman" w:cs="Times New Roman"/>
          <w:sz w:val="22"/>
        </w:rPr>
        <w:t>.</w:t>
      </w:r>
    </w:p>
    <w:p w:rsidR="00373F44" w:rsidRPr="006527D3" w:rsidRDefault="00373F44" w:rsidP="00DD1FDE">
      <w:pPr>
        <w:pStyle w:val="a3"/>
        <w:spacing w:line="360" w:lineRule="auto"/>
        <w:rPr>
          <w:rFonts w:ascii="Times New Roman" w:hAnsi="Times New Roman" w:cs="Times New Roman"/>
          <w:sz w:val="22"/>
        </w:rPr>
      </w:pPr>
      <w:r w:rsidRPr="006527D3">
        <w:rPr>
          <w:rFonts w:ascii="Times New Roman" w:hAnsi="Times New Roman" w:cs="Times New Roman"/>
          <w:sz w:val="22"/>
        </w:rPr>
        <w:tab/>
      </w:r>
      <w:proofErr w:type="spellStart"/>
      <w:r w:rsidRPr="006527D3">
        <w:rPr>
          <w:rFonts w:ascii="Times New Roman" w:hAnsi="Times New Roman" w:cs="Times New Roman"/>
          <w:sz w:val="22"/>
        </w:rPr>
        <w:t>Sood</w:t>
      </w:r>
      <w:proofErr w:type="spellEnd"/>
      <w:r w:rsidRPr="006527D3">
        <w:rPr>
          <w:rFonts w:ascii="Times New Roman" w:hAnsi="Times New Roman" w:cs="Times New Roman"/>
          <w:sz w:val="22"/>
        </w:rPr>
        <w:t xml:space="preserve"> et al. </w:t>
      </w:r>
      <w:r w:rsidRPr="006527D3">
        <w:rPr>
          <w:rFonts w:ascii="Times New Roman" w:hAnsi="Times New Roman" w:cs="Times New Roman"/>
          <w:noProof/>
          <w:sz w:val="22"/>
          <w:vertAlign w:val="superscript"/>
        </w:rPr>
        <w:t>4</w:t>
      </w:r>
      <w:r w:rsidRPr="006527D3">
        <w:rPr>
          <w:rFonts w:ascii="Times New Roman" w:hAnsi="Times New Roman" w:cs="Times New Roman"/>
          <w:sz w:val="22"/>
        </w:rPr>
        <w:t xml:space="preserve"> reported that aging-related genes can serve for discriminating AD from </w:t>
      </w:r>
      <w:r w:rsidR="001301C6">
        <w:rPr>
          <w:rFonts w:ascii="Times New Roman" w:hAnsi="Times New Roman" w:cs="Times New Roman"/>
          <w:sz w:val="22"/>
        </w:rPr>
        <w:t>CN</w:t>
      </w:r>
      <w:r w:rsidRPr="006527D3">
        <w:rPr>
          <w:rFonts w:ascii="Times New Roman" w:hAnsi="Times New Roman" w:cs="Times New Roman"/>
          <w:sz w:val="22"/>
        </w:rPr>
        <w:t xml:space="preserve">. They identified the aging-related genes in 30 muscle samples of 15 young (aged 19 – 28 years) and 15 </w:t>
      </w:r>
      <w:proofErr w:type="gramStart"/>
      <w:r w:rsidRPr="006527D3">
        <w:rPr>
          <w:rFonts w:ascii="Times New Roman" w:hAnsi="Times New Roman" w:cs="Times New Roman"/>
          <w:sz w:val="22"/>
        </w:rPr>
        <w:t>elderly</w:t>
      </w:r>
      <w:proofErr w:type="gramEnd"/>
      <w:r w:rsidRPr="006527D3">
        <w:rPr>
          <w:rFonts w:ascii="Times New Roman" w:hAnsi="Times New Roman" w:cs="Times New Roman"/>
          <w:sz w:val="22"/>
        </w:rPr>
        <w:t xml:space="preserve"> (aged 59 – 77) individuals without any chronic diseases. By means of an empirical Bayesian statistic </w:t>
      </w:r>
      <w:r w:rsidRPr="006527D3">
        <w:rPr>
          <w:rFonts w:ascii="Times New Roman" w:hAnsi="Times New Roman" w:cs="Times New Roman"/>
          <w:sz w:val="22"/>
        </w:rPr>
        <w:lastRenderedPageBreak/>
        <w:t>and a leave-one-out CV (LOOCV) process, a 150-RNA probe set list was compiled. These 150 probes were used as input of a k-nearest neighbor (</w:t>
      </w:r>
      <w:proofErr w:type="spellStart"/>
      <w:r w:rsidRPr="006527D3">
        <w:rPr>
          <w:rFonts w:ascii="Times New Roman" w:hAnsi="Times New Roman" w:cs="Times New Roman"/>
          <w:sz w:val="22"/>
        </w:rPr>
        <w:t>kNN</w:t>
      </w:r>
      <w:proofErr w:type="spellEnd"/>
      <w:r w:rsidRPr="006527D3">
        <w:rPr>
          <w:rFonts w:ascii="Times New Roman" w:hAnsi="Times New Roman" w:cs="Times New Roman"/>
          <w:sz w:val="22"/>
        </w:rPr>
        <w:t>) classification method to discriminate AD cases, yielding AUCs of 0.73 and 0.66 in ANM1 and ANM2 using LOOCV, respectively.</w:t>
      </w:r>
    </w:p>
    <w:p w:rsidR="00373F44" w:rsidRPr="006527D3" w:rsidRDefault="00373F44" w:rsidP="00DD1FDE">
      <w:pPr>
        <w:pStyle w:val="a3"/>
        <w:spacing w:line="360" w:lineRule="auto"/>
        <w:rPr>
          <w:rFonts w:ascii="Times New Roman" w:hAnsi="Times New Roman" w:cs="Times New Roman"/>
          <w:sz w:val="22"/>
        </w:rPr>
      </w:pPr>
      <w:r w:rsidRPr="006527D3">
        <w:rPr>
          <w:rFonts w:ascii="Times New Roman" w:hAnsi="Times New Roman" w:cs="Times New Roman"/>
          <w:sz w:val="22"/>
        </w:rPr>
        <w:tab/>
      </w:r>
      <w:proofErr w:type="spellStart"/>
      <w:r w:rsidRPr="006527D3">
        <w:rPr>
          <w:rFonts w:ascii="Times New Roman" w:hAnsi="Times New Roman" w:cs="Times New Roman"/>
          <w:sz w:val="22"/>
        </w:rPr>
        <w:t>Voyle</w:t>
      </w:r>
      <w:proofErr w:type="spellEnd"/>
      <w:r w:rsidRPr="006527D3">
        <w:rPr>
          <w:rFonts w:ascii="Times New Roman" w:hAnsi="Times New Roman" w:cs="Times New Roman"/>
          <w:sz w:val="22"/>
        </w:rPr>
        <w:t xml:space="preserve"> et al. </w:t>
      </w:r>
      <w:r w:rsidRPr="006527D3">
        <w:rPr>
          <w:rFonts w:ascii="Times New Roman" w:hAnsi="Times New Roman" w:cs="Times New Roman"/>
          <w:noProof/>
          <w:sz w:val="22"/>
          <w:vertAlign w:val="superscript"/>
        </w:rPr>
        <w:t>5</w:t>
      </w:r>
      <w:r w:rsidRPr="006527D3">
        <w:rPr>
          <w:rFonts w:ascii="Times New Roman" w:hAnsi="Times New Roman" w:cs="Times New Roman"/>
          <w:sz w:val="22"/>
        </w:rPr>
        <w:t xml:space="preserve"> analyzed 748 subjects: 614 from ANM and 134 from the Dementia Case Registry (DCR). They used the recursive feature elimination (RFE) and constructed a tolerance set that selected a smaller set of variables maintaining model accuracy. At first, 261 variables were selected by the top 5% of bootstrapped variable importance calculations, and the RFE reduced them to 13 probes (12 genes). Then, the 13 probes were used as the input of RF to classify AD cases form </w:t>
      </w:r>
      <w:r w:rsidR="000E6CC4">
        <w:rPr>
          <w:rFonts w:ascii="Times New Roman" w:hAnsi="Times New Roman" w:cs="Times New Roman"/>
          <w:sz w:val="22"/>
        </w:rPr>
        <w:t>CN</w:t>
      </w:r>
      <w:r w:rsidRPr="006527D3">
        <w:rPr>
          <w:rFonts w:ascii="Times New Roman" w:hAnsi="Times New Roman" w:cs="Times New Roman"/>
          <w:sz w:val="22"/>
        </w:rPr>
        <w:t xml:space="preserve">. As a result, the RF model correctly discriminated 155 of 236 (AD: 118, </w:t>
      </w:r>
      <w:r w:rsidR="000E6CC4">
        <w:rPr>
          <w:rFonts w:ascii="Times New Roman" w:hAnsi="Times New Roman" w:cs="Times New Roman"/>
          <w:sz w:val="22"/>
        </w:rPr>
        <w:t>CN</w:t>
      </w:r>
      <w:r w:rsidRPr="006527D3">
        <w:rPr>
          <w:rFonts w:ascii="Times New Roman" w:hAnsi="Times New Roman" w:cs="Times New Roman"/>
          <w:sz w:val="22"/>
        </w:rPr>
        <w:t>: 118) with an accuracy of 0.657, and the AUC in this model was 0.724.</w:t>
      </w:r>
    </w:p>
    <w:p w:rsidR="00373F44" w:rsidRPr="006527D3" w:rsidRDefault="00373F44" w:rsidP="00DD1FDE">
      <w:pPr>
        <w:pStyle w:val="a3"/>
        <w:spacing w:line="360" w:lineRule="auto"/>
        <w:rPr>
          <w:rFonts w:ascii="Times New Roman" w:hAnsi="Times New Roman" w:cs="Times New Roman"/>
          <w:sz w:val="22"/>
        </w:rPr>
      </w:pPr>
      <w:r w:rsidRPr="006527D3">
        <w:rPr>
          <w:rFonts w:ascii="Times New Roman" w:hAnsi="Times New Roman" w:cs="Times New Roman"/>
          <w:sz w:val="22"/>
        </w:rPr>
        <w:tab/>
        <w:t xml:space="preserve">Li et al. </w:t>
      </w:r>
      <w:r w:rsidRPr="006527D3">
        <w:rPr>
          <w:rFonts w:ascii="Times New Roman" w:hAnsi="Times New Roman" w:cs="Times New Roman"/>
          <w:noProof/>
          <w:sz w:val="22"/>
          <w:vertAlign w:val="superscript"/>
        </w:rPr>
        <w:t>6</w:t>
      </w:r>
      <w:r w:rsidRPr="006527D3">
        <w:rPr>
          <w:rFonts w:ascii="Times New Roman" w:hAnsi="Times New Roman" w:cs="Times New Roman"/>
          <w:sz w:val="22"/>
        </w:rPr>
        <w:t xml:space="preserve"> presented in 2017 research consisting of blood gene expression data from GSE63060 (ANM1) and GSE63061 (ANM2). Feature selection was performed by a Ref-REO method, which selected gene pairs with similar gene expression alteration patterns based on leukocyte subtypes, yielding 1,145 and 1,249 reverse gene pairs in ANM1 and ANM2 datasets, respectively. Then, using these features, AUC values of 0.733 and 0.775 were obtained when ANM2 and ANM1 datasets were used as test sets, respectively.</w:t>
      </w:r>
    </w:p>
    <w:p w:rsidR="00373F44" w:rsidRPr="006527D3" w:rsidRDefault="00373F44" w:rsidP="00DD1FDE">
      <w:pPr>
        <w:pStyle w:val="a3"/>
        <w:spacing w:line="360" w:lineRule="auto"/>
        <w:rPr>
          <w:rFonts w:ascii="Times New Roman" w:hAnsi="Times New Roman" w:cs="Times New Roman"/>
          <w:sz w:val="22"/>
        </w:rPr>
      </w:pPr>
      <w:r w:rsidRPr="006527D3">
        <w:rPr>
          <w:rFonts w:ascii="Times New Roman" w:hAnsi="Times New Roman" w:cs="Times New Roman"/>
          <w:sz w:val="22"/>
        </w:rPr>
        <w:tab/>
        <w:t xml:space="preserve">Li et al. </w:t>
      </w:r>
      <w:r w:rsidRPr="006527D3">
        <w:rPr>
          <w:rFonts w:ascii="Times New Roman" w:hAnsi="Times New Roman" w:cs="Times New Roman"/>
          <w:noProof/>
          <w:sz w:val="22"/>
          <w:vertAlign w:val="superscript"/>
        </w:rPr>
        <w:t>7</w:t>
      </w:r>
      <w:r w:rsidRPr="006527D3">
        <w:rPr>
          <w:rFonts w:ascii="Times New Roman" w:hAnsi="Times New Roman" w:cs="Times New Roman"/>
          <w:sz w:val="22"/>
        </w:rPr>
        <w:t xml:space="preserve"> performed a study involving blood gene expression data from ANM (GSE63060 and GSE63061). For GSE63061, individuals with Western European and Caucasian ethnicity were selected. They used the least absolute shrinkage and selection operator (LASSO) regression that shrinks coefficients with sparsity to curate final variables, resulting in 6 features (Full6set) being selected. They used 6 genes for three ML methods, including SVM, logistic ridge regression (RR), and RF </w:t>
      </w:r>
      <w:r w:rsidRPr="006527D3">
        <w:rPr>
          <w:rFonts w:ascii="Times New Roman" w:hAnsi="Times New Roman" w:cs="Times New Roman"/>
          <w:noProof/>
          <w:sz w:val="22"/>
          <w:vertAlign w:val="superscript"/>
        </w:rPr>
        <w:t>7</w:t>
      </w:r>
      <w:r w:rsidRPr="006527D3">
        <w:rPr>
          <w:rFonts w:ascii="Times New Roman" w:hAnsi="Times New Roman" w:cs="Times New Roman"/>
          <w:sz w:val="22"/>
        </w:rPr>
        <w:t>, yielding mean AUCs of 0.864 and 0.866 for testing ANM1 and ANM2, respectively.</w:t>
      </w:r>
    </w:p>
    <w:p w:rsidR="00373F44" w:rsidRPr="006527D3" w:rsidRDefault="00373F44" w:rsidP="00DD1FDE">
      <w:pPr>
        <w:pStyle w:val="a3"/>
        <w:spacing w:line="360" w:lineRule="auto"/>
        <w:ind w:firstLine="800"/>
        <w:rPr>
          <w:rFonts w:ascii="Times New Roman" w:hAnsi="Times New Roman" w:cs="Times New Roman"/>
          <w:sz w:val="22"/>
        </w:rPr>
      </w:pPr>
      <w:r w:rsidRPr="006527D3">
        <w:rPr>
          <w:rFonts w:ascii="Times New Roman" w:hAnsi="Times New Roman" w:cs="Times New Roman"/>
          <w:sz w:val="22"/>
        </w:rPr>
        <w:t xml:space="preserve">Although these studies have been performed, it is unclear whether the classifiers trained using one AD gene expression data set can be applied to other AD data sets. Thus, in this study, we systematically evaluated five feature selection methods and classifiers for distinguishing individuals with AD from </w:t>
      </w:r>
      <w:r w:rsidR="0027116F">
        <w:rPr>
          <w:rFonts w:ascii="Times New Roman" w:hAnsi="Times New Roman" w:cs="Times New Roman"/>
          <w:sz w:val="22"/>
        </w:rPr>
        <w:t>healthy</w:t>
      </w:r>
      <w:r w:rsidRPr="006527D3">
        <w:rPr>
          <w:rFonts w:ascii="Times New Roman" w:hAnsi="Times New Roman" w:cs="Times New Roman"/>
          <w:sz w:val="22"/>
        </w:rPr>
        <w:t xml:space="preserve"> controls (</w:t>
      </w:r>
      <w:r w:rsidR="000E6CC4">
        <w:rPr>
          <w:rFonts w:ascii="Times New Roman" w:hAnsi="Times New Roman" w:cs="Times New Roman"/>
          <w:sz w:val="22"/>
        </w:rPr>
        <w:t>CNs</w:t>
      </w:r>
      <w:r w:rsidRPr="006527D3">
        <w:rPr>
          <w:rFonts w:ascii="Times New Roman" w:hAnsi="Times New Roman" w:cs="Times New Roman"/>
          <w:sz w:val="22"/>
        </w:rPr>
        <w:t>) using three independent blood gene expression datasets.</w:t>
      </w:r>
    </w:p>
    <w:p w:rsidR="00373F44" w:rsidRPr="006527D3" w:rsidRDefault="00373F44" w:rsidP="00DD1FDE">
      <w:pPr>
        <w:pStyle w:val="a3"/>
        <w:spacing w:line="360" w:lineRule="auto"/>
        <w:rPr>
          <w:rFonts w:ascii="Times New Roman" w:hAnsi="Times New Roman" w:cs="Times New Roman"/>
          <w:sz w:val="22"/>
        </w:rPr>
      </w:pPr>
    </w:p>
    <w:p w:rsidR="00373F44" w:rsidRPr="000B5CF8" w:rsidRDefault="00373F44" w:rsidP="00DD1FDE">
      <w:pPr>
        <w:pStyle w:val="a3"/>
        <w:spacing w:line="360" w:lineRule="auto"/>
        <w:rPr>
          <w:rFonts w:ascii="Times New Roman" w:hAnsi="Times New Roman" w:cs="Times New Roman"/>
          <w:b/>
          <w:sz w:val="24"/>
        </w:rPr>
      </w:pPr>
      <w:r w:rsidRPr="000B5CF8">
        <w:rPr>
          <w:rFonts w:ascii="Times New Roman" w:hAnsi="Times New Roman" w:cs="Times New Roman"/>
          <w:b/>
          <w:sz w:val="24"/>
        </w:rPr>
        <w:t>Methods</w:t>
      </w:r>
    </w:p>
    <w:p w:rsidR="00373F44" w:rsidRPr="006527D3" w:rsidRDefault="00373F44" w:rsidP="00DD1FDE">
      <w:pPr>
        <w:pStyle w:val="a3"/>
        <w:spacing w:line="360" w:lineRule="auto"/>
        <w:rPr>
          <w:rFonts w:ascii="Times New Roman" w:hAnsi="Times New Roman" w:cs="Times New Roman"/>
          <w:sz w:val="22"/>
        </w:rPr>
      </w:pPr>
      <w:r w:rsidRPr="006527D3">
        <w:rPr>
          <w:rFonts w:ascii="Times New Roman" w:hAnsi="Times New Roman" w:cs="Times New Roman"/>
          <w:sz w:val="22"/>
        </w:rPr>
        <w:t xml:space="preserve">The ADNI consisted of participants recruited at 57 sites in the US and Canada, funded as a private-public partnership </w:t>
      </w:r>
      <w:r w:rsidRPr="006527D3">
        <w:rPr>
          <w:rFonts w:ascii="Times New Roman" w:hAnsi="Times New Roman" w:cs="Times New Roman"/>
          <w:noProof/>
          <w:sz w:val="22"/>
          <w:vertAlign w:val="superscript"/>
        </w:rPr>
        <w:t>8</w:t>
      </w:r>
      <w:r w:rsidRPr="006527D3">
        <w:rPr>
          <w:rFonts w:ascii="Times New Roman" w:hAnsi="Times New Roman" w:cs="Times New Roman"/>
          <w:sz w:val="22"/>
        </w:rPr>
        <w:t xml:space="preserve">. The ANM consortium is a large </w:t>
      </w:r>
      <w:proofErr w:type="gramStart"/>
      <w:r w:rsidRPr="006527D3">
        <w:rPr>
          <w:rFonts w:ascii="Times New Roman" w:hAnsi="Times New Roman" w:cs="Times New Roman"/>
          <w:sz w:val="22"/>
        </w:rPr>
        <w:t>cross</w:t>
      </w:r>
      <w:proofErr w:type="gramEnd"/>
      <w:r w:rsidRPr="006527D3">
        <w:rPr>
          <w:rFonts w:ascii="Times New Roman" w:hAnsi="Times New Roman" w:cs="Times New Roman"/>
          <w:sz w:val="22"/>
        </w:rPr>
        <w:t xml:space="preserve">-European AD biomarker study and a follow-on DCR cohort in London </w:t>
      </w:r>
      <w:r w:rsidRPr="006527D3">
        <w:rPr>
          <w:rFonts w:ascii="Times New Roman" w:hAnsi="Times New Roman" w:cs="Times New Roman"/>
          <w:noProof/>
          <w:sz w:val="22"/>
          <w:vertAlign w:val="superscript"/>
        </w:rPr>
        <w:t>9</w:t>
      </w:r>
      <w:r w:rsidRPr="006527D3">
        <w:rPr>
          <w:rFonts w:ascii="Times New Roman" w:hAnsi="Times New Roman" w:cs="Times New Roman"/>
          <w:sz w:val="22"/>
        </w:rPr>
        <w:t xml:space="preserve">. In both ADNI and ANM, AD was diagnosed using the NINCDS-ADRDA criteria for possible or probable AD </w:t>
      </w:r>
      <w:r w:rsidRPr="006527D3">
        <w:rPr>
          <w:rFonts w:ascii="Times New Roman" w:hAnsi="Times New Roman" w:cs="Times New Roman"/>
          <w:noProof/>
          <w:sz w:val="22"/>
          <w:vertAlign w:val="superscript"/>
        </w:rPr>
        <w:t>10</w:t>
      </w:r>
      <w:r w:rsidRPr="006527D3">
        <w:rPr>
          <w:rFonts w:ascii="Times New Roman" w:hAnsi="Times New Roman" w:cs="Times New Roman"/>
          <w:sz w:val="22"/>
        </w:rPr>
        <w:t>.</w:t>
      </w:r>
    </w:p>
    <w:p w:rsidR="00373F44" w:rsidRPr="006527D3" w:rsidRDefault="00373F44" w:rsidP="00DD1FDE">
      <w:pPr>
        <w:pStyle w:val="a3"/>
        <w:spacing w:line="360" w:lineRule="auto"/>
        <w:ind w:firstLine="800"/>
        <w:rPr>
          <w:rFonts w:ascii="Times New Roman" w:hAnsi="Times New Roman" w:cs="Times New Roman"/>
          <w:sz w:val="22"/>
        </w:rPr>
      </w:pPr>
      <w:r w:rsidRPr="006527D3">
        <w:rPr>
          <w:rFonts w:ascii="Times New Roman" w:hAnsi="Times New Roman" w:cs="Times New Roman"/>
          <w:sz w:val="22"/>
        </w:rPr>
        <w:t>We employed three large-scale blood gene expression datasets: ANM1 (</w:t>
      </w:r>
      <w:proofErr w:type="gramStart"/>
      <w:r w:rsidRPr="006527D3">
        <w:rPr>
          <w:rFonts w:ascii="Times New Roman" w:hAnsi="Times New Roman" w:cs="Times New Roman"/>
          <w:sz w:val="22"/>
        </w:rPr>
        <w:t>GEO:GSE</w:t>
      </w:r>
      <w:proofErr w:type="gramEnd"/>
      <w:r w:rsidRPr="006527D3">
        <w:rPr>
          <w:rFonts w:ascii="Times New Roman" w:hAnsi="Times New Roman" w:cs="Times New Roman"/>
          <w:sz w:val="22"/>
        </w:rPr>
        <w:t xml:space="preserve">63060), ANM2 (GEO:GSE63061), and ADNI (adni.loni.usc.edu, last downloaded 2018/8/31). The overall framework of our study is illustrated in Figure 1. The performance was evaluated via internal validation (five-fold CV within each dataset) and external validation (training and test sets from different datasets). </w:t>
      </w:r>
    </w:p>
    <w:p w:rsidR="00373F44" w:rsidRPr="006527D3" w:rsidRDefault="00373F44" w:rsidP="00DD1FDE">
      <w:pPr>
        <w:pStyle w:val="a3"/>
        <w:spacing w:line="360" w:lineRule="auto"/>
        <w:ind w:firstLine="800"/>
        <w:rPr>
          <w:rFonts w:ascii="Times New Roman" w:hAnsi="Times New Roman" w:cs="Times New Roman"/>
          <w:sz w:val="22"/>
        </w:rPr>
      </w:pPr>
      <w:r w:rsidRPr="006527D3">
        <w:rPr>
          <w:rFonts w:ascii="Times New Roman" w:hAnsi="Times New Roman" w:cs="Times New Roman"/>
          <w:sz w:val="22"/>
        </w:rPr>
        <w:lastRenderedPageBreak/>
        <w:t xml:space="preserve">The extraction of differentially expressed genes (DEGs), logistic regression (LR), L1-LR, support vector machine (SVM), and random forest (RF) were implemented using R (version 3.4.0) and Bioconductor (release 3.8) </w:t>
      </w:r>
      <w:r w:rsidRPr="006527D3">
        <w:rPr>
          <w:rFonts w:ascii="Times New Roman" w:hAnsi="Times New Roman" w:cs="Times New Roman"/>
          <w:noProof/>
          <w:sz w:val="22"/>
          <w:vertAlign w:val="superscript"/>
        </w:rPr>
        <w:t>11, 12</w:t>
      </w:r>
      <w:r w:rsidRPr="006527D3">
        <w:rPr>
          <w:rFonts w:ascii="Times New Roman" w:hAnsi="Times New Roman" w:cs="Times New Roman"/>
          <w:sz w:val="22"/>
        </w:rPr>
        <w:t xml:space="preserve">. Variational autoencoder (VAE) and deep neural network (DNN) were implemented with C++ based </w:t>
      </w:r>
      <w:proofErr w:type="spellStart"/>
      <w:r w:rsidRPr="006527D3">
        <w:rPr>
          <w:rFonts w:ascii="Times New Roman" w:hAnsi="Times New Roman" w:cs="Times New Roman"/>
          <w:sz w:val="22"/>
        </w:rPr>
        <w:t>TensorFlow</w:t>
      </w:r>
      <w:proofErr w:type="spellEnd"/>
      <w:r w:rsidRPr="006527D3">
        <w:rPr>
          <w:rFonts w:ascii="Times New Roman" w:hAnsi="Times New Roman" w:cs="Times New Roman"/>
          <w:sz w:val="22"/>
        </w:rPr>
        <w:t xml:space="preserve"> with a Python interface </w:t>
      </w:r>
      <w:r w:rsidRPr="006527D3">
        <w:rPr>
          <w:rFonts w:ascii="Times New Roman" w:hAnsi="Times New Roman" w:cs="Times New Roman"/>
          <w:noProof/>
          <w:sz w:val="22"/>
          <w:vertAlign w:val="superscript"/>
        </w:rPr>
        <w:t>13</w:t>
      </w:r>
      <w:r w:rsidRPr="006527D3">
        <w:rPr>
          <w:rFonts w:ascii="Times New Roman" w:hAnsi="Times New Roman" w:cs="Times New Roman"/>
          <w:sz w:val="22"/>
        </w:rPr>
        <w:t>.</w:t>
      </w:r>
    </w:p>
    <w:p w:rsidR="00373F44" w:rsidRPr="000B5CF8" w:rsidRDefault="00373F44" w:rsidP="00DD1FDE">
      <w:pPr>
        <w:pStyle w:val="a3"/>
        <w:spacing w:line="360" w:lineRule="auto"/>
        <w:rPr>
          <w:rFonts w:ascii="Times New Roman" w:hAnsi="Times New Roman" w:cs="Times New Roman"/>
          <w:b/>
          <w:i/>
          <w:sz w:val="22"/>
        </w:rPr>
      </w:pPr>
      <w:r w:rsidRPr="000B5CF8">
        <w:rPr>
          <w:rFonts w:ascii="Times New Roman" w:hAnsi="Times New Roman" w:cs="Times New Roman"/>
          <w:b/>
          <w:i/>
          <w:sz w:val="22"/>
        </w:rPr>
        <w:t>Preprocessing of data</w:t>
      </w:r>
    </w:p>
    <w:p w:rsidR="00373F44" w:rsidRPr="006527D3" w:rsidRDefault="00373F44" w:rsidP="00DD1FDE">
      <w:pPr>
        <w:pStyle w:val="a3"/>
        <w:spacing w:line="360" w:lineRule="auto"/>
        <w:rPr>
          <w:rFonts w:ascii="Times New Roman" w:hAnsi="Times New Roman" w:cs="Times New Roman"/>
          <w:sz w:val="22"/>
        </w:rPr>
      </w:pPr>
      <w:r w:rsidRPr="006527D3">
        <w:rPr>
          <w:rFonts w:ascii="Times New Roman" w:hAnsi="Times New Roman" w:cs="Times New Roman"/>
          <w:sz w:val="22"/>
        </w:rPr>
        <w:t xml:space="preserve">Gene expression data were produced using the </w:t>
      </w:r>
      <w:proofErr w:type="spellStart"/>
      <w:r w:rsidRPr="006527D3">
        <w:rPr>
          <w:rFonts w:ascii="Times New Roman" w:hAnsi="Times New Roman" w:cs="Times New Roman"/>
          <w:sz w:val="22"/>
        </w:rPr>
        <w:t>Affymetrix</w:t>
      </w:r>
      <w:proofErr w:type="spellEnd"/>
      <w:r w:rsidRPr="006527D3">
        <w:rPr>
          <w:rFonts w:ascii="Times New Roman" w:hAnsi="Times New Roman" w:cs="Times New Roman"/>
          <w:sz w:val="22"/>
        </w:rPr>
        <w:t xml:space="preserve"> Human Genome U 219 array for the first case-control study (ADNI), Illumina Human HT-12 v.3 Expression BeadChips for the second case-control study (ANM1), and Illumina Human HT-12 v4 Expression BeadChips for the third case-control study (ANM2).</w:t>
      </w:r>
    </w:p>
    <w:p w:rsidR="00373F44" w:rsidRPr="006527D3" w:rsidRDefault="00373F44" w:rsidP="00DD1FDE">
      <w:pPr>
        <w:pStyle w:val="a3"/>
        <w:spacing w:line="360" w:lineRule="auto"/>
        <w:ind w:firstLine="800"/>
        <w:rPr>
          <w:rFonts w:ascii="Times New Roman" w:hAnsi="Times New Roman" w:cs="Times New Roman"/>
          <w:sz w:val="22"/>
        </w:rPr>
      </w:pPr>
      <w:r w:rsidRPr="006527D3">
        <w:rPr>
          <w:rFonts w:ascii="Times New Roman" w:hAnsi="Times New Roman" w:cs="Times New Roman"/>
          <w:sz w:val="22"/>
        </w:rPr>
        <w:t xml:space="preserve">We performed three steps of data processing. The first step involved the selection of samples and probes to be analyzed. For ADNI, we selected high-quality RNA samples with RIN ≥ 6.9, as the previous study performed </w:t>
      </w:r>
      <w:r w:rsidRPr="006527D3">
        <w:rPr>
          <w:rFonts w:ascii="Times New Roman" w:hAnsi="Times New Roman" w:cs="Times New Roman"/>
          <w:noProof/>
          <w:sz w:val="22"/>
          <w:vertAlign w:val="superscript"/>
        </w:rPr>
        <w:t>14</w:t>
      </w:r>
      <w:r w:rsidRPr="006527D3">
        <w:rPr>
          <w:rFonts w:ascii="Times New Roman" w:hAnsi="Times New Roman" w:cs="Times New Roman"/>
          <w:sz w:val="22"/>
        </w:rPr>
        <w:t xml:space="preserve">, and for ANM1 and ANM2, we did not exclude any samples. The ADNI, ANM1, and ANM2 datasets consisted of 49,386, 30,063, and 29,485 probes, respectively. The median RNA expression value of ADNI, ANM1, and ANM2 were 3.897, 7.584 and 6.154, respectively, indicating that ADNI could be influenced by background noise due to relatively low gene expression intensities. To reduce the background noise of ANDI, we excluded probes with an intensity value ≤ the median of all gene expression values in 100 or more samples, as performed in the previous study </w:t>
      </w:r>
      <w:r w:rsidRPr="006527D3">
        <w:rPr>
          <w:rFonts w:ascii="Times New Roman" w:hAnsi="Times New Roman" w:cs="Times New Roman"/>
          <w:noProof/>
          <w:sz w:val="22"/>
          <w:vertAlign w:val="superscript"/>
        </w:rPr>
        <w:t>15</w:t>
      </w:r>
      <w:r w:rsidRPr="006527D3">
        <w:rPr>
          <w:rFonts w:ascii="Times New Roman" w:hAnsi="Times New Roman" w:cs="Times New Roman"/>
          <w:sz w:val="22"/>
        </w:rPr>
        <w:t>. If there were multiple probes annotated in one gene, then the median value of those was selected, yielding 11,276, 21,698, and 22,338 unique probes in ADNI, ANM1, and ANM2, respectively. We selected only probes that were present in all three datasets, and 8,835 final probes were left for analysis.</w:t>
      </w:r>
    </w:p>
    <w:p w:rsidR="00373F44" w:rsidRPr="006527D3" w:rsidRDefault="00373F44" w:rsidP="00DD1FDE">
      <w:pPr>
        <w:pStyle w:val="a3"/>
        <w:spacing w:line="360" w:lineRule="auto"/>
        <w:rPr>
          <w:rFonts w:ascii="Times New Roman" w:hAnsi="Times New Roman" w:cs="Times New Roman"/>
          <w:sz w:val="22"/>
        </w:rPr>
      </w:pPr>
      <w:r w:rsidRPr="006527D3">
        <w:rPr>
          <w:rFonts w:ascii="Times New Roman" w:hAnsi="Times New Roman" w:cs="Times New Roman"/>
          <w:sz w:val="22"/>
        </w:rPr>
        <w:tab/>
        <w:t xml:space="preserve">The second step was normalization within each dataset and renormalization between datasets. The probe set level intensities of all three datasets were normalized by the Robust Multi-Array Analysis (RMA) method </w:t>
      </w:r>
      <w:r w:rsidRPr="006527D3">
        <w:rPr>
          <w:rFonts w:ascii="Times New Roman" w:hAnsi="Times New Roman" w:cs="Times New Roman"/>
          <w:noProof/>
          <w:sz w:val="22"/>
          <w:vertAlign w:val="superscript"/>
        </w:rPr>
        <w:t>16</w:t>
      </w:r>
      <w:r w:rsidRPr="006527D3">
        <w:rPr>
          <w:rFonts w:ascii="Times New Roman" w:hAnsi="Times New Roman" w:cs="Times New Roman"/>
          <w:sz w:val="22"/>
        </w:rPr>
        <w:t xml:space="preserve">. Although each dataset was normalized, a variance or batch effect among different datasets remained. Therefore, we renormalized all three datasets to reduce the batch effect among different datasets using ComBat from the sva package in R </w:t>
      </w:r>
      <w:r w:rsidRPr="006527D3">
        <w:rPr>
          <w:rFonts w:ascii="Times New Roman" w:hAnsi="Times New Roman" w:cs="Times New Roman"/>
          <w:noProof/>
          <w:sz w:val="22"/>
          <w:vertAlign w:val="superscript"/>
        </w:rPr>
        <w:t>17</w:t>
      </w:r>
      <w:r w:rsidRPr="006527D3">
        <w:rPr>
          <w:rFonts w:ascii="Times New Roman" w:hAnsi="Times New Roman" w:cs="Times New Roman"/>
          <w:sz w:val="22"/>
        </w:rPr>
        <w:t xml:space="preserve">. </w:t>
      </w:r>
    </w:p>
    <w:p w:rsidR="00373F44" w:rsidRPr="006527D3" w:rsidRDefault="00373F44" w:rsidP="00DD1FDE">
      <w:pPr>
        <w:pStyle w:val="a3"/>
        <w:spacing w:line="360" w:lineRule="auto"/>
        <w:ind w:firstLine="800"/>
        <w:rPr>
          <w:rFonts w:ascii="Times New Roman" w:hAnsi="Times New Roman" w:cs="Times New Roman"/>
          <w:sz w:val="22"/>
        </w:rPr>
      </w:pPr>
      <w:r w:rsidRPr="006527D3">
        <w:rPr>
          <w:rFonts w:ascii="Times New Roman" w:hAnsi="Times New Roman" w:cs="Times New Roman"/>
          <w:sz w:val="22"/>
        </w:rPr>
        <w:t xml:space="preserve">The third step was selecting DEGs of patients with AD. We extracted DEGs between the control and AD in the ADNI by the significance analysis of microarrays (SAM), which is a method for identifying genes on a microarray with statistically significant changes in expression </w:t>
      </w:r>
      <w:r w:rsidRPr="006527D3">
        <w:rPr>
          <w:rFonts w:ascii="Times New Roman" w:hAnsi="Times New Roman" w:cs="Times New Roman"/>
          <w:noProof/>
          <w:sz w:val="22"/>
          <w:vertAlign w:val="superscript"/>
        </w:rPr>
        <w:t>18</w:t>
      </w:r>
      <w:r w:rsidRPr="006527D3">
        <w:rPr>
          <w:rFonts w:ascii="Times New Roman" w:hAnsi="Times New Roman" w:cs="Times New Roman"/>
          <w:sz w:val="22"/>
        </w:rPr>
        <w:t xml:space="preserve">. It was developed in the context of an actual biological experiment. Differentially expressed genes of AD in ANM1 and ANM2 were curated via </w:t>
      </w:r>
      <w:r w:rsidR="00D853CC">
        <w:rPr>
          <w:rFonts w:ascii="Times New Roman" w:hAnsi="Times New Roman" w:cs="Times New Roman"/>
          <w:sz w:val="22"/>
        </w:rPr>
        <w:t>“</w:t>
      </w:r>
      <w:r w:rsidRPr="006527D3">
        <w:rPr>
          <w:rFonts w:ascii="Times New Roman" w:hAnsi="Times New Roman" w:cs="Times New Roman"/>
          <w:sz w:val="22"/>
        </w:rPr>
        <w:t>lmFit</w:t>
      </w:r>
      <w:r w:rsidR="00D853CC">
        <w:rPr>
          <w:rFonts w:ascii="Times New Roman" w:hAnsi="Times New Roman" w:cs="Times New Roman"/>
          <w:sz w:val="22"/>
        </w:rPr>
        <w:t>”</w:t>
      </w:r>
      <w:r w:rsidRPr="006527D3">
        <w:rPr>
          <w:rFonts w:ascii="Times New Roman" w:hAnsi="Times New Roman" w:cs="Times New Roman"/>
          <w:sz w:val="22"/>
        </w:rPr>
        <w:t xml:space="preserve"> and </w:t>
      </w:r>
      <w:r w:rsidR="00D853CC">
        <w:rPr>
          <w:rFonts w:ascii="Times New Roman" w:hAnsi="Times New Roman" w:cs="Times New Roman"/>
          <w:sz w:val="22"/>
        </w:rPr>
        <w:t>“</w:t>
      </w:r>
      <w:r w:rsidRPr="006527D3">
        <w:rPr>
          <w:rFonts w:ascii="Times New Roman" w:hAnsi="Times New Roman" w:cs="Times New Roman"/>
          <w:sz w:val="22"/>
        </w:rPr>
        <w:t>eBayes</w:t>
      </w:r>
      <w:r w:rsidR="00D853CC">
        <w:rPr>
          <w:rFonts w:ascii="Times New Roman" w:hAnsi="Times New Roman" w:cs="Times New Roman"/>
          <w:sz w:val="22"/>
        </w:rPr>
        <w:t>”</w:t>
      </w:r>
      <w:r w:rsidRPr="006527D3">
        <w:rPr>
          <w:rFonts w:ascii="Times New Roman" w:hAnsi="Times New Roman" w:cs="Times New Roman"/>
          <w:sz w:val="22"/>
        </w:rPr>
        <w:t xml:space="preserve"> functions in the limma package, which is based on a linear regression method </w:t>
      </w:r>
      <w:r w:rsidRPr="006527D3">
        <w:rPr>
          <w:rFonts w:ascii="Times New Roman" w:hAnsi="Times New Roman" w:cs="Times New Roman"/>
          <w:noProof/>
          <w:sz w:val="22"/>
          <w:vertAlign w:val="superscript"/>
        </w:rPr>
        <w:t>19</w:t>
      </w:r>
      <w:r w:rsidRPr="006527D3">
        <w:rPr>
          <w:rFonts w:ascii="Times New Roman" w:hAnsi="Times New Roman" w:cs="Times New Roman"/>
          <w:sz w:val="22"/>
        </w:rPr>
        <w:t>. We set the cutoffs of FDR of the SAM and limma to 0.05 and 0.01, respectively.</w:t>
      </w:r>
    </w:p>
    <w:p w:rsidR="00373F44" w:rsidRPr="006527D3" w:rsidRDefault="00373F44" w:rsidP="00DD1FDE">
      <w:pPr>
        <w:pStyle w:val="a3"/>
        <w:spacing w:line="360" w:lineRule="auto"/>
        <w:rPr>
          <w:rFonts w:ascii="Times New Roman" w:hAnsi="Times New Roman" w:cs="Times New Roman"/>
          <w:sz w:val="22"/>
        </w:rPr>
      </w:pPr>
    </w:p>
    <w:p w:rsidR="00373F44" w:rsidRPr="000B5CF8" w:rsidRDefault="00373F44" w:rsidP="00DD1FDE">
      <w:pPr>
        <w:pStyle w:val="a3"/>
        <w:spacing w:line="360" w:lineRule="auto"/>
        <w:rPr>
          <w:rFonts w:ascii="Times New Roman" w:hAnsi="Times New Roman" w:cs="Times New Roman"/>
          <w:b/>
          <w:i/>
          <w:sz w:val="22"/>
        </w:rPr>
      </w:pPr>
      <w:r w:rsidRPr="000B5CF8">
        <w:rPr>
          <w:rFonts w:ascii="Times New Roman" w:hAnsi="Times New Roman" w:cs="Times New Roman"/>
          <w:b/>
          <w:i/>
          <w:sz w:val="22"/>
        </w:rPr>
        <w:t xml:space="preserve">Feature selection (VAE) </w:t>
      </w:r>
    </w:p>
    <w:p w:rsidR="00373F44" w:rsidRPr="006527D3" w:rsidRDefault="00373F44" w:rsidP="00DD1FDE">
      <w:pPr>
        <w:pStyle w:val="a3"/>
        <w:spacing w:line="360" w:lineRule="auto"/>
        <w:rPr>
          <w:rFonts w:ascii="Times New Roman" w:hAnsi="Times New Roman" w:cs="Times New Roman"/>
          <w:sz w:val="22"/>
        </w:rPr>
      </w:pPr>
      <w:r w:rsidRPr="006527D3">
        <w:rPr>
          <w:rFonts w:ascii="Times New Roman" w:hAnsi="Times New Roman" w:cs="Times New Roman"/>
          <w:sz w:val="22"/>
        </w:rPr>
        <w:t xml:space="preserve">We used VAE to extract a representation from a set of input features thereby reducing the dimensions of the data </w:t>
      </w:r>
      <w:r w:rsidRPr="006527D3">
        <w:rPr>
          <w:rFonts w:ascii="Times New Roman" w:hAnsi="Times New Roman" w:cs="Times New Roman"/>
          <w:noProof/>
          <w:sz w:val="22"/>
          <w:vertAlign w:val="superscript"/>
        </w:rPr>
        <w:t>20</w:t>
      </w:r>
      <w:r w:rsidRPr="006527D3">
        <w:rPr>
          <w:rFonts w:ascii="Times New Roman" w:hAnsi="Times New Roman" w:cs="Times New Roman"/>
          <w:sz w:val="22"/>
        </w:rPr>
        <w:t xml:space="preserve">. An autoencoder is a type of neural network used to learn efficient and representative </w:t>
      </w:r>
      <w:r w:rsidRPr="006527D3">
        <w:rPr>
          <w:rFonts w:ascii="Times New Roman" w:hAnsi="Times New Roman" w:cs="Times New Roman"/>
          <w:sz w:val="22"/>
        </w:rPr>
        <w:lastRenderedPageBreak/>
        <w:t xml:space="preserve">information in an unsupervised manner. Specifically, VAE not only adopts the autoencoder architecture, but also assumes that the distribution of encoding features </w:t>
      </w:r>
      <w:proofErr w:type="gramStart"/>
      <w:r w:rsidRPr="006527D3">
        <w:rPr>
          <w:rFonts w:ascii="Times New Roman" w:hAnsi="Times New Roman" w:cs="Times New Roman"/>
          <w:sz w:val="22"/>
        </w:rPr>
        <w:t>are</w:t>
      </w:r>
      <w:proofErr w:type="gramEnd"/>
      <w:r w:rsidRPr="006527D3">
        <w:rPr>
          <w:rFonts w:ascii="Times New Roman" w:hAnsi="Times New Roman" w:cs="Times New Roman"/>
          <w:sz w:val="22"/>
        </w:rPr>
        <w:t xml:space="preserve"> similar to that of original features </w:t>
      </w:r>
      <w:r w:rsidRPr="006527D3">
        <w:rPr>
          <w:rFonts w:ascii="Times New Roman" w:hAnsi="Times New Roman" w:cs="Times New Roman"/>
          <w:noProof/>
          <w:sz w:val="22"/>
          <w:vertAlign w:val="superscript"/>
        </w:rPr>
        <w:t>20</w:t>
      </w:r>
      <w:r w:rsidRPr="006527D3">
        <w:rPr>
          <w:rFonts w:ascii="Times New Roman" w:hAnsi="Times New Roman" w:cs="Times New Roman"/>
          <w:sz w:val="22"/>
        </w:rPr>
        <w:t>. The objective of VAE are as follows:</w:t>
      </w:r>
    </w:p>
    <w:p w:rsidR="00373F44" w:rsidRPr="006527D3" w:rsidRDefault="00373F44" w:rsidP="00DD1FDE">
      <w:pPr>
        <w:pStyle w:val="a3"/>
        <w:spacing w:line="360" w:lineRule="auto"/>
        <w:rPr>
          <w:rFonts w:ascii="Times New Roman" w:hAnsi="Times New Roman" w:cs="Times New Roman"/>
          <w:sz w:val="22"/>
        </w:rPr>
      </w:pPr>
      <m:oMathPara>
        <m:oMath>
          <m:r>
            <m:rPr>
              <m:scr m:val="script"/>
              <m:sty m:val="p"/>
            </m:rPr>
            <w:rPr>
              <w:rFonts w:ascii="Cambria Math" w:hAnsi="Cambria Math" w:cs="Times New Roman"/>
              <w:sz w:val="22"/>
            </w:rPr>
            <m:t>L</m:t>
          </m:r>
          <m:d>
            <m:dPr>
              <m:ctrlPr>
                <w:rPr>
                  <w:rFonts w:ascii="Cambria Math" w:hAnsi="Cambria Math" w:cs="Times New Roman"/>
                  <w:sz w:val="22"/>
                </w:rPr>
              </m:ctrlPr>
            </m:dPr>
            <m:e>
              <m:r>
                <m:rPr>
                  <m:sty m:val="p"/>
                </m:rPr>
                <w:rPr>
                  <w:rFonts w:ascii="Cambria Math" w:hAnsi="Cambria Math" w:cs="Times New Roman"/>
                  <w:sz w:val="22"/>
                </w:rPr>
                <m:t>ϕ, θ, x</m:t>
              </m:r>
            </m:e>
          </m:d>
          <m:r>
            <m:rPr>
              <m:sty m:val="p"/>
            </m:rPr>
            <w:rPr>
              <w:rFonts w:ascii="Cambria Math" w:hAnsi="Cambria Math" w:cs="Times New Roman"/>
              <w:sz w:val="22"/>
            </w:rPr>
            <m:t>= -</m:t>
          </m:r>
          <m:sSub>
            <m:sSubPr>
              <m:ctrlPr>
                <w:rPr>
                  <w:rFonts w:ascii="Cambria Math" w:hAnsi="Cambria Math" w:cs="Times New Roman"/>
                  <w:sz w:val="22"/>
                </w:rPr>
              </m:ctrlPr>
            </m:sSubPr>
            <m:e>
              <m:r>
                <m:rPr>
                  <m:sty m:val="p"/>
                </m:rPr>
                <w:rPr>
                  <w:rFonts w:ascii="Cambria Math" w:hAnsi="Cambria Math" w:cs="Times New Roman"/>
                  <w:sz w:val="22"/>
                </w:rPr>
                <m:t>E</m:t>
              </m:r>
            </m:e>
            <m:sub>
              <m:r>
                <m:rPr>
                  <m:sty m:val="p"/>
                </m:rPr>
                <w:rPr>
                  <w:rFonts w:ascii="Cambria Math" w:hAnsi="Cambria Math" w:cs="Times New Roman"/>
                  <w:sz w:val="22"/>
                </w:rPr>
                <m:t>z~</m:t>
              </m:r>
              <m:sSub>
                <m:sSubPr>
                  <m:ctrlPr>
                    <w:rPr>
                      <w:rFonts w:ascii="Cambria Math" w:hAnsi="Cambria Math" w:cs="Times New Roman"/>
                      <w:sz w:val="22"/>
                    </w:rPr>
                  </m:ctrlPr>
                </m:sSubPr>
                <m:e>
                  <m:r>
                    <m:rPr>
                      <m:sty m:val="p"/>
                    </m:rPr>
                    <w:rPr>
                      <w:rFonts w:ascii="Cambria Math" w:hAnsi="Cambria Math" w:cs="Times New Roman"/>
                      <w:sz w:val="22"/>
                    </w:rPr>
                    <m:t>q</m:t>
                  </m:r>
                </m:e>
                <m:sub>
                  <m:r>
                    <m:rPr>
                      <m:sty m:val="p"/>
                    </m:rPr>
                    <w:rPr>
                      <w:rFonts w:ascii="Cambria Math" w:hAnsi="Cambria Math" w:cs="Times New Roman"/>
                      <w:sz w:val="22"/>
                    </w:rPr>
                    <m:t>ϕ</m:t>
                  </m:r>
                </m:sub>
              </m:sSub>
              <m:d>
                <m:dPr>
                  <m:ctrlPr>
                    <w:rPr>
                      <w:rFonts w:ascii="Cambria Math" w:hAnsi="Cambria Math" w:cs="Times New Roman"/>
                      <w:sz w:val="22"/>
                    </w:rPr>
                  </m:ctrlPr>
                </m:dPr>
                <m:e>
                  <m:r>
                    <m:rPr>
                      <m:sty m:val="p"/>
                    </m:rPr>
                    <w:rPr>
                      <w:rFonts w:ascii="Cambria Math" w:hAnsi="Cambria Math" w:cs="Times New Roman"/>
                      <w:sz w:val="22"/>
                    </w:rPr>
                    <m:t>z|x</m:t>
                  </m:r>
                </m:e>
              </m:d>
            </m:sub>
          </m:sSub>
          <m:d>
            <m:dPr>
              <m:ctrlPr>
                <w:rPr>
                  <w:rFonts w:ascii="Cambria Math" w:hAnsi="Cambria Math" w:cs="Times New Roman"/>
                  <w:sz w:val="22"/>
                </w:rPr>
              </m:ctrlPr>
            </m:dPr>
            <m:e>
              <m:func>
                <m:funcPr>
                  <m:ctrlPr>
                    <w:rPr>
                      <w:rFonts w:ascii="Cambria Math" w:hAnsi="Cambria Math" w:cs="Times New Roman"/>
                      <w:sz w:val="22"/>
                    </w:rPr>
                  </m:ctrlPr>
                </m:funcPr>
                <m:fName>
                  <m:sSub>
                    <m:sSubPr>
                      <m:ctrlPr>
                        <w:rPr>
                          <w:rFonts w:ascii="Cambria Math" w:hAnsi="Cambria Math" w:cs="Times New Roman"/>
                          <w:sz w:val="22"/>
                        </w:rPr>
                      </m:ctrlPr>
                    </m:sSubPr>
                    <m:e>
                      <m:r>
                        <m:rPr>
                          <m:sty m:val="p"/>
                        </m:rPr>
                        <w:rPr>
                          <w:rFonts w:ascii="Cambria Math" w:hAnsi="Cambria Math" w:cs="Times New Roman"/>
                          <w:sz w:val="22"/>
                        </w:rPr>
                        <m:t>log</m:t>
                      </m:r>
                    </m:e>
                    <m:sub>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θ</m:t>
                          </m:r>
                        </m:sub>
                      </m:sSub>
                    </m:sub>
                  </m:sSub>
                </m:fName>
                <m:e>
                  <m:d>
                    <m:dPr>
                      <m:ctrlPr>
                        <w:rPr>
                          <w:rFonts w:ascii="Cambria Math" w:hAnsi="Cambria Math" w:cs="Times New Roman"/>
                          <w:sz w:val="22"/>
                        </w:rPr>
                      </m:ctrlPr>
                    </m:dPr>
                    <m:e>
                      <m:r>
                        <m:rPr>
                          <m:sty m:val="p"/>
                        </m:rPr>
                        <w:rPr>
                          <w:rFonts w:ascii="Cambria Math" w:hAnsi="Cambria Math" w:cs="Times New Roman"/>
                          <w:sz w:val="22"/>
                        </w:rPr>
                        <m:t>x|z</m:t>
                      </m:r>
                    </m:e>
                  </m:d>
                </m:e>
              </m:func>
            </m:e>
          </m:d>
          <m:r>
            <m:rPr>
              <m:sty m:val="p"/>
            </m:rPr>
            <w:rPr>
              <w:rFonts w:ascii="Cambria Math" w:hAnsi="Cambria Math" w:cs="Times New Roman"/>
              <w:sz w:val="22"/>
            </w:rPr>
            <m:t>+</m:t>
          </m:r>
          <m:sSub>
            <m:sSubPr>
              <m:ctrlPr>
                <w:rPr>
                  <w:rFonts w:ascii="Cambria Math" w:hAnsi="Cambria Math" w:cs="Times New Roman"/>
                  <w:sz w:val="22"/>
                </w:rPr>
              </m:ctrlPr>
            </m:sSubPr>
            <m:e>
              <m:r>
                <m:rPr>
                  <m:sty m:val="p"/>
                </m:rPr>
                <w:rPr>
                  <w:rFonts w:ascii="Cambria Math" w:hAnsi="Cambria Math" w:cs="Times New Roman"/>
                  <w:sz w:val="22"/>
                </w:rPr>
                <m:t>D</m:t>
              </m:r>
            </m:e>
            <m:sub>
              <m:r>
                <m:rPr>
                  <m:sty m:val="p"/>
                </m:rPr>
                <w:rPr>
                  <w:rFonts w:ascii="Cambria Math" w:hAnsi="Cambria Math" w:cs="Times New Roman"/>
                  <w:sz w:val="22"/>
                </w:rPr>
                <m:t>KL</m:t>
              </m:r>
            </m:sub>
          </m:sSub>
          <m:d>
            <m:dPr>
              <m:ctrlPr>
                <w:rPr>
                  <w:rFonts w:ascii="Cambria Math" w:hAnsi="Cambria Math" w:cs="Times New Roman"/>
                  <w:sz w:val="22"/>
                </w:rPr>
              </m:ctrlPr>
            </m:dPr>
            <m:e>
              <m:sSub>
                <m:sSubPr>
                  <m:ctrlPr>
                    <w:rPr>
                      <w:rFonts w:ascii="Cambria Math" w:hAnsi="Cambria Math" w:cs="Times New Roman"/>
                      <w:sz w:val="22"/>
                    </w:rPr>
                  </m:ctrlPr>
                </m:sSubPr>
                <m:e>
                  <m:r>
                    <m:rPr>
                      <m:sty m:val="p"/>
                    </m:rPr>
                    <w:rPr>
                      <w:rFonts w:ascii="Cambria Math" w:hAnsi="Cambria Math" w:cs="Times New Roman"/>
                      <w:sz w:val="22"/>
                    </w:rPr>
                    <m:t>q</m:t>
                  </m:r>
                </m:e>
                <m:sub>
                  <m:r>
                    <m:rPr>
                      <m:sty m:val="p"/>
                    </m:rPr>
                    <w:rPr>
                      <w:rFonts w:ascii="Cambria Math" w:hAnsi="Cambria Math" w:cs="Times New Roman"/>
                      <w:sz w:val="22"/>
                    </w:rPr>
                    <m:t>ϕ</m:t>
                  </m:r>
                </m:sub>
              </m:sSub>
              <m:d>
                <m:dPr>
                  <m:ctrlPr>
                    <w:rPr>
                      <w:rFonts w:ascii="Cambria Math" w:hAnsi="Cambria Math" w:cs="Times New Roman"/>
                      <w:sz w:val="22"/>
                    </w:rPr>
                  </m:ctrlPr>
                </m:dPr>
                <m:e>
                  <m:r>
                    <m:rPr>
                      <m:sty m:val="p"/>
                    </m:rPr>
                    <w:rPr>
                      <w:rFonts w:ascii="Cambria Math" w:hAnsi="Cambria Math" w:cs="Times New Roman"/>
                      <w:sz w:val="22"/>
                    </w:rPr>
                    <m:t>z|x</m:t>
                  </m:r>
                </m:e>
              </m:d>
              <m:r>
                <m:rPr>
                  <m:sty m:val="p"/>
                </m:rPr>
                <w:rPr>
                  <w:rFonts w:ascii="Cambria Math" w:hAnsi="Cambria Math" w:cs="Times New Roman"/>
                  <w:sz w:val="22"/>
                </w:rPr>
                <m:t>||</m:t>
              </m:r>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ϕ</m:t>
                  </m:r>
                </m:sub>
              </m:sSub>
              <m:d>
                <m:dPr>
                  <m:ctrlPr>
                    <w:rPr>
                      <w:rFonts w:ascii="Cambria Math" w:hAnsi="Cambria Math" w:cs="Times New Roman"/>
                      <w:sz w:val="22"/>
                    </w:rPr>
                  </m:ctrlPr>
                </m:dPr>
                <m:e>
                  <m:r>
                    <m:rPr>
                      <m:sty m:val="p"/>
                    </m:rPr>
                    <w:rPr>
                      <w:rFonts w:ascii="Cambria Math" w:hAnsi="Cambria Math" w:cs="Times New Roman"/>
                      <w:sz w:val="22"/>
                    </w:rPr>
                    <m:t>z</m:t>
                  </m:r>
                </m:e>
              </m:d>
            </m:e>
          </m:d>
        </m:oMath>
      </m:oMathPara>
    </w:p>
    <w:p w:rsidR="00373F44" w:rsidRPr="006527D3" w:rsidRDefault="00373F44" w:rsidP="00DD1FDE">
      <w:pPr>
        <w:pStyle w:val="a3"/>
        <w:spacing w:line="360" w:lineRule="auto"/>
        <w:rPr>
          <w:rFonts w:ascii="Times New Roman" w:hAnsi="Times New Roman" w:cs="Times New Roman"/>
          <w:sz w:val="22"/>
        </w:rPr>
      </w:pPr>
      <w:r w:rsidRPr="006527D3">
        <w:rPr>
          <w:rFonts w:ascii="Times New Roman" w:hAnsi="Times New Roman" w:cs="Times New Roman"/>
          <w:sz w:val="22"/>
        </w:rPr>
        <w:t xml:space="preserve">where DKL indicates the Kullback-Leibler divergence, and we assume that </w:t>
      </w:r>
      <w:proofErr w:type="spellStart"/>
      <w:r w:rsidRPr="006527D3">
        <w:rPr>
          <w:rFonts w:ascii="Times New Roman" w:hAnsi="Times New Roman" w:cs="Times New Roman"/>
          <w:i/>
          <w:sz w:val="22"/>
        </w:rPr>
        <w:t>q</w:t>
      </w:r>
      <w:r w:rsidRPr="006527D3">
        <w:rPr>
          <w:rFonts w:ascii="Times New Roman" w:hAnsi="Times New Roman" w:cs="Times New Roman"/>
          <w:i/>
          <w:sz w:val="22"/>
          <w:vertAlign w:val="subscript"/>
        </w:rPr>
        <w:t>ϕ</w:t>
      </w:r>
      <w:proofErr w:type="spellEnd"/>
      <w:r w:rsidRPr="006527D3">
        <w:rPr>
          <w:rFonts w:ascii="Times New Roman" w:hAnsi="Times New Roman" w:cs="Times New Roman"/>
          <w:i/>
          <w:sz w:val="22"/>
        </w:rPr>
        <w:t>(</w:t>
      </w:r>
      <w:proofErr w:type="spellStart"/>
      <w:r w:rsidRPr="006527D3">
        <w:rPr>
          <w:rFonts w:ascii="Times New Roman" w:hAnsi="Times New Roman" w:cs="Times New Roman"/>
          <w:i/>
          <w:sz w:val="22"/>
        </w:rPr>
        <w:t>z|x</w:t>
      </w:r>
      <w:proofErr w:type="spellEnd"/>
      <w:r w:rsidRPr="006527D3">
        <w:rPr>
          <w:rFonts w:ascii="Times New Roman" w:hAnsi="Times New Roman" w:cs="Times New Roman"/>
          <w:i/>
          <w:sz w:val="22"/>
        </w:rPr>
        <w:t>)</w:t>
      </w:r>
      <w:r w:rsidRPr="006527D3">
        <w:rPr>
          <w:rFonts w:ascii="Times New Roman" w:hAnsi="Times New Roman" w:cs="Times New Roman"/>
          <w:sz w:val="22"/>
        </w:rPr>
        <w:t xml:space="preserve">, the distribution of the sampling function, and </w:t>
      </w:r>
      <w:proofErr w:type="spellStart"/>
      <w:r w:rsidRPr="006527D3">
        <w:rPr>
          <w:rFonts w:ascii="Times New Roman" w:hAnsi="Times New Roman" w:cs="Times New Roman"/>
          <w:i/>
          <w:sz w:val="22"/>
        </w:rPr>
        <w:t>p</w:t>
      </w:r>
      <w:r w:rsidRPr="006527D3">
        <w:rPr>
          <w:rFonts w:ascii="Times New Roman" w:hAnsi="Times New Roman" w:cs="Times New Roman"/>
          <w:i/>
          <w:sz w:val="22"/>
          <w:vertAlign w:val="subscript"/>
        </w:rPr>
        <w:t>θ</w:t>
      </w:r>
      <w:proofErr w:type="spellEnd"/>
      <w:r w:rsidRPr="006527D3">
        <w:rPr>
          <w:rFonts w:ascii="Times New Roman" w:hAnsi="Times New Roman" w:cs="Times New Roman"/>
          <w:i/>
          <w:sz w:val="22"/>
        </w:rPr>
        <w:t>(z)</w:t>
      </w:r>
      <w:r w:rsidRPr="006527D3">
        <w:rPr>
          <w:rFonts w:ascii="Times New Roman" w:hAnsi="Times New Roman" w:cs="Times New Roman"/>
          <w:sz w:val="22"/>
        </w:rPr>
        <w:t xml:space="preserve">, the distribution of encoding features, are the Gaussian and the standard normal distribution, respectively. The framework of VAE is concisely described in Figure 1 and precisely in Supplementary Figure S1A. The structure of VAE was as follows: input features x are expression values of n genes and they are multiplexed by weights, and passed to activation functions, which are </w:t>
      </w:r>
      <w:proofErr w:type="spellStart"/>
      <w:r w:rsidRPr="006527D3">
        <w:rPr>
          <w:rFonts w:ascii="Times New Roman" w:hAnsi="Times New Roman" w:cs="Times New Roman"/>
          <w:sz w:val="22"/>
        </w:rPr>
        <w:t>elu</w:t>
      </w:r>
      <w:proofErr w:type="spellEnd"/>
      <w:r w:rsidRPr="006527D3">
        <w:rPr>
          <w:rFonts w:ascii="Times New Roman" w:hAnsi="Times New Roman" w:cs="Times New Roman"/>
          <w:sz w:val="22"/>
        </w:rPr>
        <w:t xml:space="preserve"> </w:t>
      </w:r>
      <w:r w:rsidRPr="006527D3">
        <w:rPr>
          <w:rFonts w:ascii="Times New Roman" w:hAnsi="Times New Roman" w:cs="Times New Roman"/>
          <w:noProof/>
          <w:sz w:val="22"/>
          <w:vertAlign w:val="superscript"/>
        </w:rPr>
        <w:t>21</w:t>
      </w:r>
      <w:r w:rsidRPr="006527D3">
        <w:rPr>
          <w:rFonts w:ascii="Times New Roman" w:hAnsi="Times New Roman" w:cs="Times New Roman"/>
          <w:sz w:val="22"/>
        </w:rPr>
        <w:t xml:space="preserve">, </w:t>
      </w:r>
      <w:proofErr w:type="spellStart"/>
      <w:r w:rsidRPr="006527D3">
        <w:rPr>
          <w:rFonts w:ascii="Times New Roman" w:hAnsi="Times New Roman" w:cs="Times New Roman"/>
          <w:sz w:val="22"/>
        </w:rPr>
        <w:t>softplus</w:t>
      </w:r>
      <w:proofErr w:type="spellEnd"/>
      <w:r w:rsidRPr="006527D3">
        <w:rPr>
          <w:rFonts w:ascii="Times New Roman" w:hAnsi="Times New Roman" w:cs="Times New Roman"/>
          <w:sz w:val="22"/>
        </w:rPr>
        <w:t xml:space="preserve"> </w:t>
      </w:r>
      <w:r w:rsidRPr="006527D3">
        <w:rPr>
          <w:rFonts w:ascii="Times New Roman" w:hAnsi="Times New Roman" w:cs="Times New Roman"/>
          <w:noProof/>
          <w:sz w:val="22"/>
          <w:vertAlign w:val="superscript"/>
        </w:rPr>
        <w:t>22</w:t>
      </w:r>
      <w:r w:rsidRPr="006527D3">
        <w:rPr>
          <w:rFonts w:ascii="Times New Roman" w:hAnsi="Times New Roman" w:cs="Times New Roman"/>
          <w:sz w:val="22"/>
        </w:rPr>
        <w:t xml:space="preserve">, and hyperbolic tangent </w:t>
      </w:r>
      <w:r w:rsidRPr="006527D3">
        <w:rPr>
          <w:rFonts w:ascii="Times New Roman" w:hAnsi="Times New Roman" w:cs="Times New Roman"/>
          <w:noProof/>
          <w:sz w:val="22"/>
          <w:vertAlign w:val="superscript"/>
        </w:rPr>
        <w:t>23</w:t>
      </w:r>
      <w:r w:rsidRPr="006527D3">
        <w:rPr>
          <w:rFonts w:ascii="Times New Roman" w:hAnsi="Times New Roman" w:cs="Times New Roman"/>
          <w:sz w:val="22"/>
        </w:rPr>
        <w:t xml:space="preserve"> in encoding layer, sampling function, and decoding layer, respectively. The reduced features </w:t>
      </w:r>
      <w:r w:rsidRPr="006527D3">
        <w:rPr>
          <w:rFonts w:ascii="Times New Roman" w:hAnsi="Times New Roman" w:cs="Times New Roman"/>
          <w:i/>
          <w:sz w:val="22"/>
        </w:rPr>
        <w:t>z</w:t>
      </w:r>
      <w:r w:rsidRPr="006527D3">
        <w:rPr>
          <w:rFonts w:ascii="Times New Roman" w:hAnsi="Times New Roman" w:cs="Times New Roman"/>
          <w:sz w:val="22"/>
        </w:rPr>
        <w:t xml:space="preserve"> and parameters </w:t>
      </w:r>
      <w:r w:rsidRPr="006527D3">
        <w:rPr>
          <w:rFonts w:ascii="Times New Roman" w:hAnsi="Times New Roman" w:cs="Times New Roman"/>
          <w:i/>
          <w:sz w:val="22"/>
        </w:rPr>
        <w:t>θ</w:t>
      </w:r>
      <w:r w:rsidRPr="006527D3">
        <w:rPr>
          <w:rFonts w:ascii="Times New Roman" w:hAnsi="Times New Roman" w:cs="Times New Roman"/>
          <w:sz w:val="22"/>
        </w:rPr>
        <w:t xml:space="preserve"> and </w:t>
      </w:r>
      <w:r w:rsidRPr="006527D3">
        <w:rPr>
          <w:rFonts w:ascii="Times New Roman" w:hAnsi="Times New Roman" w:cs="Times New Roman"/>
          <w:i/>
          <w:sz w:val="22"/>
        </w:rPr>
        <w:t>ϕ</w:t>
      </w:r>
      <w:r w:rsidRPr="006527D3">
        <w:rPr>
          <w:rFonts w:ascii="Times New Roman" w:hAnsi="Times New Roman" w:cs="Times New Roman"/>
          <w:sz w:val="22"/>
        </w:rPr>
        <w:t xml:space="preserve"> are obtained by maximizing the object function L, and the number of reduced dimensions was set to be similar to the number of selected genes by the CFG score. In a simulation, the distribution of input and encoding features of ADNI and the correlation between the input and reconstructed features are described in Supplementary Figure S1 BD. Furthermore, we tuned a list of trained weights using prior information (sample label: AD or </w:t>
      </w:r>
      <w:r w:rsidR="00CB374E">
        <w:rPr>
          <w:rFonts w:ascii="Times New Roman" w:hAnsi="Times New Roman" w:cs="Times New Roman"/>
          <w:sz w:val="22"/>
        </w:rPr>
        <w:t>CN</w:t>
      </w:r>
      <w:r w:rsidRPr="006527D3">
        <w:rPr>
          <w:rFonts w:ascii="Times New Roman" w:hAnsi="Times New Roman" w:cs="Times New Roman"/>
          <w:sz w:val="22"/>
        </w:rPr>
        <w:t xml:space="preserve">) of the training dataset to reduce information loss of shrunken dimension (Supplementary Figure S1A). Note that all processes of VAE were performed on a training dataset. We optimized our VAE model utilizing the </w:t>
      </w:r>
      <w:proofErr w:type="spellStart"/>
      <w:r w:rsidRPr="006527D3">
        <w:rPr>
          <w:rFonts w:ascii="Times New Roman" w:hAnsi="Times New Roman" w:cs="Times New Roman"/>
          <w:sz w:val="22"/>
        </w:rPr>
        <w:t>Adagrad</w:t>
      </w:r>
      <w:proofErr w:type="spellEnd"/>
      <w:r w:rsidRPr="006527D3">
        <w:rPr>
          <w:rFonts w:ascii="Times New Roman" w:hAnsi="Times New Roman" w:cs="Times New Roman"/>
          <w:sz w:val="22"/>
        </w:rPr>
        <w:t xml:space="preserve"> optimizer </w:t>
      </w:r>
      <w:r w:rsidRPr="006527D3">
        <w:rPr>
          <w:rFonts w:ascii="Times New Roman" w:hAnsi="Times New Roman" w:cs="Times New Roman"/>
          <w:noProof/>
          <w:sz w:val="22"/>
          <w:vertAlign w:val="superscript"/>
        </w:rPr>
        <w:t>24</w:t>
      </w:r>
      <w:r w:rsidRPr="006527D3">
        <w:rPr>
          <w:rFonts w:ascii="Times New Roman" w:hAnsi="Times New Roman" w:cs="Times New Roman"/>
          <w:sz w:val="22"/>
        </w:rPr>
        <w:t xml:space="preserve">, and the number of iterations and learning rate were set as 3000 and 0.001, respectively. </w:t>
      </w:r>
    </w:p>
    <w:p w:rsidR="00373F44" w:rsidRPr="006527D3" w:rsidRDefault="00373F44" w:rsidP="00DD1FDE">
      <w:pPr>
        <w:pStyle w:val="a3"/>
        <w:spacing w:line="360" w:lineRule="auto"/>
        <w:rPr>
          <w:rFonts w:ascii="Times New Roman" w:hAnsi="Times New Roman" w:cs="Times New Roman"/>
          <w:i/>
          <w:sz w:val="22"/>
        </w:rPr>
      </w:pPr>
    </w:p>
    <w:p w:rsidR="00373F44" w:rsidRPr="000B5CF8" w:rsidRDefault="00373F44" w:rsidP="00DD1FDE">
      <w:pPr>
        <w:pStyle w:val="a3"/>
        <w:spacing w:line="360" w:lineRule="auto"/>
        <w:rPr>
          <w:rFonts w:ascii="Times New Roman" w:hAnsi="Times New Roman" w:cs="Times New Roman"/>
          <w:b/>
          <w:sz w:val="22"/>
        </w:rPr>
      </w:pPr>
      <w:r w:rsidRPr="000B5CF8">
        <w:rPr>
          <w:rFonts w:ascii="Times New Roman" w:hAnsi="Times New Roman" w:cs="Times New Roman"/>
          <w:b/>
          <w:i/>
          <w:sz w:val="22"/>
        </w:rPr>
        <w:t>Feature selection (CFG)</w:t>
      </w:r>
    </w:p>
    <w:p w:rsidR="00373F44" w:rsidRPr="006527D3" w:rsidRDefault="00373F44" w:rsidP="00DD1FDE">
      <w:pPr>
        <w:pStyle w:val="a3"/>
        <w:spacing w:line="360" w:lineRule="auto"/>
        <w:rPr>
          <w:rFonts w:ascii="Times New Roman" w:hAnsi="Times New Roman" w:cs="Times New Roman"/>
          <w:sz w:val="22"/>
        </w:rPr>
      </w:pPr>
      <w:r w:rsidRPr="006527D3">
        <w:rPr>
          <w:rFonts w:ascii="Times New Roman" w:hAnsi="Times New Roman" w:cs="Times New Roman"/>
          <w:sz w:val="22"/>
        </w:rPr>
        <w:t xml:space="preserve">The CFG approach is a translational methodology that integrates multiple lines of external evidences from human and animal model studies </w:t>
      </w:r>
      <w:r w:rsidRPr="006527D3">
        <w:rPr>
          <w:rFonts w:ascii="Times New Roman" w:hAnsi="Times New Roman" w:cs="Times New Roman"/>
          <w:noProof/>
          <w:sz w:val="22"/>
          <w:vertAlign w:val="superscript"/>
        </w:rPr>
        <w:t>25, 26</w:t>
      </w:r>
      <w:r w:rsidRPr="006527D3">
        <w:rPr>
          <w:rFonts w:ascii="Times New Roman" w:hAnsi="Times New Roman" w:cs="Times New Roman"/>
          <w:sz w:val="22"/>
        </w:rPr>
        <w:t xml:space="preserve">. There have been several studies using various CFG scoring methods, from which we selected two representative methods </w:t>
      </w:r>
      <w:r w:rsidRPr="006527D3">
        <w:rPr>
          <w:rFonts w:ascii="Times New Roman" w:hAnsi="Times New Roman" w:cs="Times New Roman"/>
          <w:noProof/>
          <w:sz w:val="22"/>
          <w:vertAlign w:val="superscript"/>
        </w:rPr>
        <w:t>27, 28</w:t>
      </w:r>
      <w:r w:rsidRPr="006527D3">
        <w:rPr>
          <w:rFonts w:ascii="Times New Roman" w:hAnsi="Times New Roman" w:cs="Times New Roman"/>
          <w:sz w:val="22"/>
        </w:rPr>
        <w:t xml:space="preserve">. The first method </w:t>
      </w:r>
      <w:r w:rsidRPr="006527D3">
        <w:rPr>
          <w:rFonts w:ascii="Times New Roman" w:hAnsi="Times New Roman" w:cs="Times New Roman"/>
          <w:noProof/>
          <w:sz w:val="22"/>
          <w:vertAlign w:val="superscript"/>
        </w:rPr>
        <w:t>27</w:t>
      </w:r>
      <w:r w:rsidRPr="006527D3">
        <w:rPr>
          <w:rFonts w:ascii="Times New Roman" w:hAnsi="Times New Roman" w:cs="Times New Roman"/>
          <w:sz w:val="22"/>
        </w:rPr>
        <w:t xml:space="preserve"> was to score genes validated by multi-genomic and experimental studies using the following five criteria: </w:t>
      </w:r>
    </w:p>
    <w:p w:rsidR="00373F44" w:rsidRPr="006527D3" w:rsidRDefault="00373F44" w:rsidP="00DD1FDE">
      <w:pPr>
        <w:pStyle w:val="a3"/>
        <w:numPr>
          <w:ilvl w:val="0"/>
          <w:numId w:val="3"/>
        </w:numPr>
        <w:spacing w:line="360" w:lineRule="auto"/>
        <w:rPr>
          <w:rFonts w:ascii="Times New Roman" w:hAnsi="Times New Roman" w:cs="Times New Roman"/>
          <w:sz w:val="22"/>
        </w:rPr>
      </w:pPr>
      <w:r w:rsidRPr="006527D3">
        <w:rPr>
          <w:rFonts w:ascii="Times New Roman" w:hAnsi="Times New Roman" w:cs="Times New Roman"/>
          <w:sz w:val="22"/>
        </w:rPr>
        <w:t>genes validated by GWAS in the Inte</w:t>
      </w:r>
      <w:r w:rsidR="00D853CC">
        <w:rPr>
          <w:rFonts w:ascii="Times New Roman" w:hAnsi="Times New Roman" w:cs="Times New Roman"/>
          <w:sz w:val="22"/>
        </w:rPr>
        <w:t>rnational Genomics of Alzheimer’</w:t>
      </w:r>
      <w:r w:rsidRPr="006527D3">
        <w:rPr>
          <w:rFonts w:ascii="Times New Roman" w:hAnsi="Times New Roman" w:cs="Times New Roman"/>
          <w:sz w:val="22"/>
        </w:rPr>
        <w:t xml:space="preserve">s Project with at least one locus being significantly associated with AD </w:t>
      </w:r>
      <w:r w:rsidRPr="006527D3">
        <w:rPr>
          <w:rFonts w:ascii="Times New Roman" w:hAnsi="Times New Roman" w:cs="Times New Roman"/>
          <w:noProof/>
          <w:sz w:val="22"/>
          <w:vertAlign w:val="superscript"/>
        </w:rPr>
        <w:t>29</w:t>
      </w:r>
    </w:p>
    <w:p w:rsidR="00373F44" w:rsidRPr="006527D3" w:rsidRDefault="00373F44" w:rsidP="00DD1FDE">
      <w:pPr>
        <w:pStyle w:val="a3"/>
        <w:numPr>
          <w:ilvl w:val="0"/>
          <w:numId w:val="3"/>
        </w:numPr>
        <w:spacing w:line="360" w:lineRule="auto"/>
        <w:rPr>
          <w:rFonts w:ascii="Times New Roman" w:hAnsi="Times New Roman" w:cs="Times New Roman"/>
          <w:sz w:val="22"/>
        </w:rPr>
      </w:pPr>
      <w:r w:rsidRPr="006527D3">
        <w:rPr>
          <w:rFonts w:ascii="Times New Roman" w:hAnsi="Times New Roman" w:cs="Times New Roman"/>
          <w:sz w:val="22"/>
        </w:rPr>
        <w:t>genes associated with SNP genotypes (</w:t>
      </w:r>
      <w:proofErr w:type="spellStart"/>
      <w:r w:rsidRPr="006527D3">
        <w:rPr>
          <w:rFonts w:ascii="Times New Roman" w:hAnsi="Times New Roman" w:cs="Times New Roman"/>
          <w:sz w:val="22"/>
        </w:rPr>
        <w:t>eQTL</w:t>
      </w:r>
      <w:proofErr w:type="spellEnd"/>
      <w:r w:rsidRPr="006527D3">
        <w:rPr>
          <w:rFonts w:ascii="Times New Roman" w:hAnsi="Times New Roman" w:cs="Times New Roman"/>
          <w:sz w:val="22"/>
        </w:rPr>
        <w:t xml:space="preserve">) associated with AD risk </w:t>
      </w:r>
      <w:r w:rsidRPr="006527D3">
        <w:rPr>
          <w:rFonts w:ascii="Times New Roman" w:hAnsi="Times New Roman" w:cs="Times New Roman"/>
          <w:noProof/>
          <w:sz w:val="22"/>
          <w:vertAlign w:val="superscript"/>
        </w:rPr>
        <w:t>29, 30</w:t>
      </w:r>
      <w:r w:rsidRPr="006527D3">
        <w:rPr>
          <w:rFonts w:ascii="Times New Roman" w:hAnsi="Times New Roman" w:cs="Times New Roman"/>
          <w:sz w:val="22"/>
        </w:rPr>
        <w:t xml:space="preserve"> </w:t>
      </w:r>
    </w:p>
    <w:p w:rsidR="00373F44" w:rsidRPr="006527D3" w:rsidRDefault="00373F44" w:rsidP="00DD1FDE">
      <w:pPr>
        <w:pStyle w:val="a3"/>
        <w:numPr>
          <w:ilvl w:val="0"/>
          <w:numId w:val="3"/>
        </w:numPr>
        <w:spacing w:line="360" w:lineRule="auto"/>
        <w:rPr>
          <w:rFonts w:ascii="Times New Roman" w:hAnsi="Times New Roman" w:cs="Times New Roman"/>
          <w:sz w:val="22"/>
        </w:rPr>
      </w:pPr>
      <w:r w:rsidRPr="006527D3">
        <w:rPr>
          <w:rFonts w:ascii="Times New Roman" w:hAnsi="Times New Roman" w:cs="Times New Roman"/>
          <w:sz w:val="22"/>
        </w:rPr>
        <w:t xml:space="preserve">genes physically interacting with any AD core genes analyzed by the previous study </w:t>
      </w:r>
      <w:r w:rsidRPr="006527D3">
        <w:rPr>
          <w:rFonts w:ascii="Times New Roman" w:hAnsi="Times New Roman" w:cs="Times New Roman"/>
          <w:noProof/>
          <w:sz w:val="22"/>
          <w:vertAlign w:val="superscript"/>
        </w:rPr>
        <w:t>27</w:t>
      </w:r>
      <w:r w:rsidRPr="006527D3">
        <w:rPr>
          <w:rFonts w:ascii="Times New Roman" w:hAnsi="Times New Roman" w:cs="Times New Roman"/>
          <w:sz w:val="22"/>
        </w:rPr>
        <w:t xml:space="preserve"> </w:t>
      </w:r>
    </w:p>
    <w:p w:rsidR="00373F44" w:rsidRPr="006527D3" w:rsidRDefault="00373F44" w:rsidP="00DD1FDE">
      <w:pPr>
        <w:pStyle w:val="a3"/>
        <w:numPr>
          <w:ilvl w:val="0"/>
          <w:numId w:val="3"/>
        </w:numPr>
        <w:spacing w:line="360" w:lineRule="auto"/>
        <w:rPr>
          <w:rFonts w:ascii="Times New Roman" w:hAnsi="Times New Roman" w:cs="Times New Roman"/>
          <w:sz w:val="22"/>
        </w:rPr>
      </w:pPr>
      <w:r w:rsidRPr="006527D3">
        <w:rPr>
          <w:rFonts w:ascii="Times New Roman" w:hAnsi="Times New Roman" w:cs="Times New Roman"/>
          <w:sz w:val="22"/>
        </w:rPr>
        <w:t xml:space="preserve">genes correlating with AD pathology in AD mice (P &lt; 0.05) at the expression level </w:t>
      </w:r>
      <w:r w:rsidRPr="006527D3">
        <w:rPr>
          <w:rFonts w:ascii="Times New Roman" w:hAnsi="Times New Roman" w:cs="Times New Roman"/>
          <w:noProof/>
          <w:sz w:val="22"/>
          <w:vertAlign w:val="superscript"/>
        </w:rPr>
        <w:t>31</w:t>
      </w:r>
      <w:r w:rsidRPr="006527D3">
        <w:rPr>
          <w:rFonts w:ascii="Times New Roman" w:hAnsi="Times New Roman" w:cs="Times New Roman"/>
          <w:sz w:val="22"/>
        </w:rPr>
        <w:t xml:space="preserve">  </w:t>
      </w:r>
    </w:p>
    <w:p w:rsidR="00373F44" w:rsidRPr="006527D3" w:rsidRDefault="00373F44" w:rsidP="00DD1FDE">
      <w:pPr>
        <w:pStyle w:val="a3"/>
        <w:numPr>
          <w:ilvl w:val="0"/>
          <w:numId w:val="3"/>
        </w:numPr>
        <w:spacing w:line="360" w:lineRule="auto"/>
        <w:rPr>
          <w:rFonts w:ascii="Times New Roman" w:hAnsi="Times New Roman" w:cs="Times New Roman"/>
          <w:sz w:val="22"/>
        </w:rPr>
      </w:pPr>
      <w:r w:rsidRPr="006527D3">
        <w:rPr>
          <w:rFonts w:ascii="Times New Roman" w:hAnsi="Times New Roman" w:cs="Times New Roman"/>
          <w:sz w:val="22"/>
        </w:rPr>
        <w:t xml:space="preserve">genes with early differential expression in AD mice (P &lt; 0.05) </w:t>
      </w:r>
      <w:r w:rsidRPr="006527D3">
        <w:rPr>
          <w:rFonts w:ascii="Times New Roman" w:hAnsi="Times New Roman" w:cs="Times New Roman"/>
          <w:noProof/>
          <w:sz w:val="22"/>
          <w:vertAlign w:val="superscript"/>
        </w:rPr>
        <w:t>31</w:t>
      </w:r>
    </w:p>
    <w:p w:rsidR="00373F44" w:rsidRPr="008D4808" w:rsidRDefault="00373F44" w:rsidP="00DD1FDE">
      <w:pPr>
        <w:pStyle w:val="a3"/>
        <w:spacing w:line="360" w:lineRule="auto"/>
        <w:rPr>
          <w:rFonts w:ascii="Times New Roman" w:hAnsi="Times New Roman" w:cs="Times New Roman"/>
          <w:sz w:val="22"/>
        </w:rPr>
      </w:pPr>
      <w:r w:rsidRPr="006527D3">
        <w:rPr>
          <w:rFonts w:ascii="Times New Roman" w:hAnsi="Times New Roman" w:cs="Times New Roman"/>
          <w:sz w:val="22"/>
        </w:rPr>
        <w:t xml:space="preserve">We assigned each DEG one point if the DEG satisfied one of the above five criteria, yielding a score ranging from 0 to 5 points by using a publicly accessible database at http://alzdata.org </w:t>
      </w:r>
      <w:r w:rsidRPr="006527D3">
        <w:rPr>
          <w:rFonts w:ascii="Times New Roman" w:hAnsi="Times New Roman" w:cs="Times New Roman"/>
          <w:noProof/>
          <w:sz w:val="22"/>
          <w:vertAlign w:val="superscript"/>
        </w:rPr>
        <w:t>27</w:t>
      </w:r>
      <w:r w:rsidRPr="006527D3">
        <w:rPr>
          <w:rFonts w:ascii="Times New Roman" w:hAnsi="Times New Roman" w:cs="Times New Roman"/>
          <w:sz w:val="22"/>
        </w:rPr>
        <w:t xml:space="preserve">. The second method is the database-based CFG scoring method that uses external lines of evidence </w:t>
      </w:r>
      <w:r w:rsidRPr="006527D3">
        <w:rPr>
          <w:rFonts w:ascii="Times New Roman" w:hAnsi="Times New Roman" w:cs="Times New Roman"/>
          <w:noProof/>
          <w:sz w:val="22"/>
          <w:vertAlign w:val="superscript"/>
        </w:rPr>
        <w:t>28</w:t>
      </w:r>
      <w:r w:rsidRPr="006527D3">
        <w:rPr>
          <w:rFonts w:ascii="Times New Roman" w:hAnsi="Times New Roman" w:cs="Times New Roman"/>
          <w:sz w:val="22"/>
        </w:rPr>
        <w:t xml:space="preserve">. We scored a gene as one point if the gene was included in the AD-related genes extracted from two databases, including </w:t>
      </w:r>
      <w:proofErr w:type="spellStart"/>
      <w:r w:rsidRPr="006527D3">
        <w:rPr>
          <w:rFonts w:ascii="Times New Roman" w:hAnsi="Times New Roman" w:cs="Times New Roman"/>
          <w:sz w:val="22"/>
        </w:rPr>
        <w:t>Alzgene</w:t>
      </w:r>
      <w:proofErr w:type="spellEnd"/>
      <w:r w:rsidRPr="006527D3">
        <w:rPr>
          <w:rFonts w:ascii="Times New Roman" w:hAnsi="Times New Roman" w:cs="Times New Roman"/>
          <w:sz w:val="22"/>
        </w:rPr>
        <w:t xml:space="preserve"> and DigSee </w:t>
      </w:r>
      <w:r w:rsidRPr="006527D3">
        <w:rPr>
          <w:rFonts w:ascii="Times New Roman" w:hAnsi="Times New Roman" w:cs="Times New Roman"/>
          <w:noProof/>
          <w:sz w:val="22"/>
          <w:vertAlign w:val="superscript"/>
        </w:rPr>
        <w:t>32, 33</w:t>
      </w:r>
      <w:r w:rsidRPr="006527D3">
        <w:rPr>
          <w:rFonts w:ascii="Times New Roman" w:hAnsi="Times New Roman" w:cs="Times New Roman"/>
          <w:sz w:val="22"/>
        </w:rPr>
        <w:t xml:space="preserve">, yielding a score ranging from 0 to 2. Bertram et al. constructed a </w:t>
      </w:r>
      <w:r w:rsidRPr="006527D3">
        <w:rPr>
          <w:rFonts w:ascii="Times New Roman" w:hAnsi="Times New Roman" w:cs="Times New Roman"/>
          <w:sz w:val="22"/>
        </w:rPr>
        <w:lastRenderedPageBreak/>
        <w:t>publicly available, continuously updated database (</w:t>
      </w:r>
      <w:proofErr w:type="spellStart"/>
      <w:r w:rsidRPr="006527D3">
        <w:rPr>
          <w:rFonts w:ascii="Times New Roman" w:hAnsi="Times New Roman" w:cs="Times New Roman"/>
          <w:sz w:val="22"/>
        </w:rPr>
        <w:t>AlzGene</w:t>
      </w:r>
      <w:proofErr w:type="spellEnd"/>
      <w:r w:rsidRPr="006527D3">
        <w:rPr>
          <w:rFonts w:ascii="Times New Roman" w:hAnsi="Times New Roman" w:cs="Times New Roman"/>
          <w:sz w:val="22"/>
        </w:rPr>
        <w:t xml:space="preserve">, http://www.alzgene.org) by performing systematic meta-analysis for each polymorphism with available genotype data in at least three case-control subjects </w:t>
      </w:r>
      <w:r w:rsidRPr="006527D3">
        <w:rPr>
          <w:rFonts w:ascii="Times New Roman" w:hAnsi="Times New Roman" w:cs="Times New Roman"/>
          <w:noProof/>
          <w:sz w:val="22"/>
          <w:vertAlign w:val="superscript"/>
        </w:rPr>
        <w:t>32</w:t>
      </w:r>
      <w:r w:rsidRPr="006527D3">
        <w:rPr>
          <w:rFonts w:ascii="Times New Roman" w:hAnsi="Times New Roman" w:cs="Times New Roman"/>
          <w:sz w:val="22"/>
        </w:rPr>
        <w:t xml:space="preserve">. The DigSee extracted gene-disease relationships by incorporating the text-mining method and the machine learning technique and included 4,494 disease types and 13,054 genes </w:t>
      </w:r>
      <w:r w:rsidRPr="006527D3">
        <w:rPr>
          <w:rFonts w:ascii="Times New Roman" w:hAnsi="Times New Roman" w:cs="Times New Roman"/>
          <w:noProof/>
          <w:sz w:val="22"/>
          <w:vertAlign w:val="superscript"/>
        </w:rPr>
        <w:t>33</w:t>
      </w:r>
      <w:r w:rsidRPr="006527D3">
        <w:rPr>
          <w:rFonts w:ascii="Times New Roman" w:hAnsi="Times New Roman" w:cs="Times New Roman"/>
          <w:sz w:val="22"/>
        </w:rPr>
        <w:t xml:space="preserve">. From the </w:t>
      </w:r>
      <w:proofErr w:type="spellStart"/>
      <w:r w:rsidRPr="006527D3">
        <w:rPr>
          <w:rFonts w:ascii="Times New Roman" w:hAnsi="Times New Roman" w:cs="Times New Roman"/>
          <w:sz w:val="22"/>
        </w:rPr>
        <w:t>AlzGene</w:t>
      </w:r>
      <w:proofErr w:type="spellEnd"/>
      <w:r w:rsidRPr="006527D3">
        <w:rPr>
          <w:rFonts w:ascii="Times New Roman" w:hAnsi="Times New Roman" w:cs="Times New Roman"/>
          <w:sz w:val="22"/>
        </w:rPr>
        <w:t xml:space="preserve"> and DigSee, we obtained a list of 680 and 1602 AD-related genes, respectively. Combining these two CFG scoring methods, we annotated all DEGs with numeric points ranging from 0 to 7. We defi</w:t>
      </w:r>
      <w:r w:rsidRPr="008D4808">
        <w:rPr>
          <w:rFonts w:ascii="Times New Roman" w:hAnsi="Times New Roman" w:cs="Times New Roman"/>
          <w:sz w:val="22"/>
        </w:rPr>
        <w:t>ned DEGs with 3 or more points as highly informative AD genes. Lists of DEGs with CFG score (ADNI, ANM1, and ANM2) are presented in Supplementary Table</w:t>
      </w:r>
      <w:r w:rsidRPr="008D4808">
        <w:rPr>
          <w:rFonts w:ascii="Times New Roman" w:hAnsi="Times New Roman" w:cs="Times New Roman" w:hint="eastAsia"/>
          <w:sz w:val="22"/>
        </w:rPr>
        <w:t>s</w:t>
      </w:r>
      <w:r w:rsidRPr="008D4808">
        <w:rPr>
          <w:rFonts w:ascii="Times New Roman" w:hAnsi="Times New Roman" w:cs="Times New Roman"/>
          <w:sz w:val="22"/>
        </w:rPr>
        <w:t xml:space="preserve"> S2–</w:t>
      </w:r>
      <w:r w:rsidR="00E44926">
        <w:rPr>
          <w:rFonts w:ascii="Times New Roman" w:hAnsi="Times New Roman" w:cs="Times New Roman"/>
          <w:sz w:val="22"/>
        </w:rPr>
        <w:t>S</w:t>
      </w:r>
      <w:r w:rsidRPr="008D4808">
        <w:rPr>
          <w:rFonts w:ascii="Times New Roman" w:hAnsi="Times New Roman" w:cs="Times New Roman"/>
          <w:sz w:val="22"/>
        </w:rPr>
        <w:t>4.</w:t>
      </w:r>
    </w:p>
    <w:p w:rsidR="00373F44" w:rsidRPr="008D4808" w:rsidRDefault="00373F44" w:rsidP="00DD1FDE">
      <w:pPr>
        <w:pStyle w:val="a3"/>
        <w:spacing w:line="360" w:lineRule="auto"/>
        <w:rPr>
          <w:rFonts w:ascii="Times New Roman" w:hAnsi="Times New Roman" w:cs="Times New Roman"/>
          <w:sz w:val="22"/>
        </w:rPr>
      </w:pPr>
    </w:p>
    <w:p w:rsidR="00373F44" w:rsidRPr="008D4808" w:rsidRDefault="00373F44" w:rsidP="00DD1FDE">
      <w:pPr>
        <w:pStyle w:val="a3"/>
        <w:spacing w:line="360" w:lineRule="auto"/>
        <w:rPr>
          <w:rFonts w:ascii="Times New Roman" w:hAnsi="Times New Roman" w:cs="Times New Roman"/>
          <w:b/>
          <w:i/>
          <w:sz w:val="22"/>
        </w:rPr>
      </w:pPr>
      <w:r w:rsidRPr="008D4808">
        <w:rPr>
          <w:rFonts w:ascii="Times New Roman" w:hAnsi="Times New Roman" w:cs="Times New Roman"/>
          <w:b/>
          <w:i/>
          <w:sz w:val="22"/>
        </w:rPr>
        <w:t>Meta-analysis methods</w:t>
      </w:r>
    </w:p>
    <w:p w:rsidR="00E92C4A" w:rsidRPr="008D4808" w:rsidRDefault="00E92C4A" w:rsidP="00E92C4A">
      <w:pPr>
        <w:pStyle w:val="a3"/>
        <w:spacing w:line="360" w:lineRule="auto"/>
        <w:rPr>
          <w:rFonts w:ascii="Times New Roman" w:hAnsi="Times New Roman" w:cs="Times New Roman"/>
          <w:sz w:val="22"/>
        </w:rPr>
      </w:pPr>
      <w:r w:rsidRPr="008D4808">
        <w:rPr>
          <w:rFonts w:ascii="Times New Roman" w:hAnsi="Times New Roman" w:cs="Times New Roman"/>
          <w:sz w:val="22"/>
        </w:rPr>
        <w:t xml:space="preserve">To integrate the ADNI, ANM1, and ANM2 datasets, we used four approaches as described in the main manuscript. </w:t>
      </w:r>
      <w:r w:rsidR="007E2ABF" w:rsidRPr="008D4808">
        <w:rPr>
          <w:rFonts w:ascii="Times New Roman" w:hAnsi="Times New Roman" w:cs="Times New Roman"/>
          <w:sz w:val="22"/>
        </w:rPr>
        <w:t>Methods</w:t>
      </w:r>
      <w:r w:rsidRPr="008D4808">
        <w:rPr>
          <w:rFonts w:ascii="Times New Roman" w:hAnsi="Times New Roman" w:cs="Times New Roman"/>
          <w:sz w:val="22"/>
        </w:rPr>
        <w:t xml:space="preserve"> by Sharifi et al.</w:t>
      </w:r>
      <w:r w:rsidRPr="008D4808">
        <w:rPr>
          <w:rFonts w:ascii="Times New Roman" w:hAnsi="Times New Roman" w:cs="Times New Roman"/>
          <w:noProof/>
          <w:sz w:val="22"/>
          <w:vertAlign w:val="superscript"/>
        </w:rPr>
        <w:t>10</w:t>
      </w:r>
      <w:r w:rsidRPr="008D4808">
        <w:rPr>
          <w:rFonts w:ascii="Times New Roman" w:hAnsi="Times New Roman" w:cs="Times New Roman"/>
          <w:sz w:val="22"/>
        </w:rPr>
        <w:t xml:space="preserve"> and Farhadian et al.</w:t>
      </w:r>
      <w:r w:rsidRPr="008D4808">
        <w:rPr>
          <w:rFonts w:ascii="Times New Roman" w:hAnsi="Times New Roman" w:cs="Times New Roman"/>
          <w:noProof/>
          <w:sz w:val="22"/>
          <w:vertAlign w:val="superscript"/>
        </w:rPr>
        <w:t>12</w:t>
      </w:r>
      <w:r w:rsidRPr="008D4808">
        <w:rPr>
          <w:rFonts w:ascii="Times New Roman" w:hAnsi="Times New Roman" w:cs="Times New Roman"/>
          <w:sz w:val="22"/>
        </w:rPr>
        <w:t xml:space="preserve"> were performed by using the </w:t>
      </w:r>
      <w:proofErr w:type="spellStart"/>
      <w:r w:rsidRPr="008D4808">
        <w:rPr>
          <w:rFonts w:ascii="Times New Roman" w:hAnsi="Times New Roman" w:cs="Times New Roman"/>
          <w:sz w:val="22"/>
        </w:rPr>
        <w:t>MetaDE</w:t>
      </w:r>
      <w:proofErr w:type="spellEnd"/>
      <w:r w:rsidRPr="008D4808">
        <w:rPr>
          <w:rFonts w:ascii="Times New Roman" w:hAnsi="Times New Roman" w:cs="Times New Roman"/>
          <w:sz w:val="22"/>
        </w:rPr>
        <w:t xml:space="preserve"> package </w:t>
      </w:r>
      <w:r w:rsidRPr="008D4808">
        <w:rPr>
          <w:rFonts w:ascii="Times New Roman" w:hAnsi="Times New Roman" w:cs="Times New Roman"/>
          <w:noProof/>
          <w:sz w:val="22"/>
          <w:vertAlign w:val="superscript"/>
        </w:rPr>
        <w:t>13</w:t>
      </w:r>
      <w:r w:rsidRPr="008D4808">
        <w:rPr>
          <w:rFonts w:ascii="Times New Roman" w:hAnsi="Times New Roman" w:cs="Times New Roman"/>
          <w:sz w:val="22"/>
        </w:rPr>
        <w:t xml:space="preserve">. We used a </w:t>
      </w:r>
      <w:r w:rsidR="00BD0396">
        <w:rPr>
          <w:rFonts w:ascii="Times New Roman" w:hAnsi="Times New Roman" w:cs="Times New Roman"/>
          <w:sz w:val="22"/>
        </w:rPr>
        <w:t>“</w:t>
      </w:r>
      <w:proofErr w:type="spellStart"/>
      <w:r w:rsidRPr="008D4808">
        <w:rPr>
          <w:rFonts w:ascii="Times New Roman" w:hAnsi="Times New Roman" w:cs="Times New Roman"/>
          <w:sz w:val="22"/>
        </w:rPr>
        <w:t>MetaDE.match</w:t>
      </w:r>
      <w:proofErr w:type="spellEnd"/>
      <w:r w:rsidR="00BD0396">
        <w:rPr>
          <w:rFonts w:ascii="Times New Roman" w:hAnsi="Times New Roman" w:cs="Times New Roman"/>
          <w:sz w:val="22"/>
        </w:rPr>
        <w:t>”</w:t>
      </w:r>
      <w:r w:rsidRPr="008D4808">
        <w:rPr>
          <w:rFonts w:ascii="Times New Roman" w:hAnsi="Times New Roman" w:cs="Times New Roman"/>
          <w:sz w:val="22"/>
        </w:rPr>
        <w:t xml:space="preserve"> function with interquartile range (IQR) setting to select the probe with the largest IQR value among all possible probes for a gene. In addition, we removed approximately 10% probes with low average expression values across the majority of studies, and approximately 10% of probes with minimal amounts of variation. </w:t>
      </w:r>
    </w:p>
    <w:p w:rsidR="00E92C4A" w:rsidRPr="008D4808" w:rsidRDefault="00E92C4A" w:rsidP="00E92C4A">
      <w:pPr>
        <w:pStyle w:val="a3"/>
        <w:spacing w:line="360" w:lineRule="auto"/>
        <w:ind w:firstLine="800"/>
        <w:rPr>
          <w:rFonts w:ascii="Times New Roman" w:hAnsi="Times New Roman" w:cs="Times New Roman"/>
          <w:sz w:val="22"/>
        </w:rPr>
      </w:pPr>
      <w:r w:rsidRPr="008D4808">
        <w:rPr>
          <w:rFonts w:ascii="Times New Roman" w:hAnsi="Times New Roman" w:cs="Times New Roman"/>
          <w:sz w:val="22"/>
        </w:rPr>
        <w:t>As Mohammadi-Dehcheshmeh et al.</w:t>
      </w:r>
      <w:r w:rsidRPr="008D4808">
        <w:rPr>
          <w:rFonts w:ascii="Times New Roman" w:hAnsi="Times New Roman" w:cs="Times New Roman"/>
          <w:noProof/>
          <w:sz w:val="22"/>
          <w:vertAlign w:val="superscript"/>
        </w:rPr>
        <w:t>11</w:t>
      </w:r>
      <w:r w:rsidRPr="008D4808">
        <w:rPr>
          <w:rFonts w:ascii="Times New Roman" w:hAnsi="Times New Roman" w:cs="Times New Roman"/>
          <w:sz w:val="22"/>
        </w:rPr>
        <w:t xml:space="preserve"> proposed, we used the Z-standardization by subtracting the mean and dividing by the standard deviation. Afterwards, the scaling and quartiling approaches were applied. In the scaling approach, the sets of the expression values for the samples were weighted by a constant defined by median mean/median </w:t>
      </w:r>
      <w:proofErr w:type="spellStart"/>
      <w:r w:rsidRPr="008D4808">
        <w:rPr>
          <w:rFonts w:ascii="Times New Roman" w:hAnsi="Times New Roman" w:cs="Times New Roman"/>
          <w:sz w:val="22"/>
        </w:rPr>
        <w:t>median</w:t>
      </w:r>
      <w:proofErr w:type="spellEnd"/>
      <w:r w:rsidRPr="008D4808">
        <w:rPr>
          <w:rFonts w:ascii="Times New Roman" w:hAnsi="Times New Roman" w:cs="Times New Roman"/>
          <w:sz w:val="22"/>
        </w:rPr>
        <w:t xml:space="preserve"> ratio. In the quartiling approach, a common target distribution was calculated by the empirical distribution of gene expression matrix, and used to curate normalized sets of expression values for each sample. Pseudocode for these processes was presented in the study by Mohammadi-Dehcheshmeh et al </w:t>
      </w:r>
      <w:r w:rsidRPr="008D4808">
        <w:rPr>
          <w:rFonts w:ascii="Times New Roman" w:hAnsi="Times New Roman" w:cs="Times New Roman"/>
          <w:noProof/>
          <w:sz w:val="22"/>
          <w:vertAlign w:val="superscript"/>
        </w:rPr>
        <w:t>11</w:t>
      </w:r>
      <w:r w:rsidRPr="008D4808">
        <w:rPr>
          <w:rFonts w:ascii="Times New Roman" w:hAnsi="Times New Roman" w:cs="Times New Roman"/>
          <w:sz w:val="22"/>
        </w:rPr>
        <w:t>.</w:t>
      </w:r>
    </w:p>
    <w:p w:rsidR="007E2ABF" w:rsidRPr="008D4808" w:rsidRDefault="00E92C4A" w:rsidP="00E92C4A">
      <w:pPr>
        <w:pStyle w:val="a3"/>
        <w:spacing w:line="360" w:lineRule="auto"/>
        <w:rPr>
          <w:rFonts w:ascii="Times New Roman" w:hAnsi="Times New Roman" w:cs="Times New Roman"/>
          <w:sz w:val="22"/>
        </w:rPr>
      </w:pPr>
      <w:r w:rsidRPr="008D4808">
        <w:rPr>
          <w:rFonts w:ascii="Times New Roman" w:hAnsi="Times New Roman" w:cs="Times New Roman"/>
          <w:sz w:val="22"/>
        </w:rPr>
        <w:tab/>
        <w:t xml:space="preserve">We named </w:t>
      </w:r>
      <w:r w:rsidR="007E2ABF" w:rsidRPr="008D4808">
        <w:rPr>
          <w:rFonts w:ascii="Times New Roman" w:hAnsi="Times New Roman" w:cs="Times New Roman"/>
          <w:sz w:val="22"/>
        </w:rPr>
        <w:t>the</w:t>
      </w:r>
      <w:r w:rsidRPr="008D4808">
        <w:rPr>
          <w:rFonts w:ascii="Times New Roman" w:hAnsi="Times New Roman" w:cs="Times New Roman"/>
          <w:sz w:val="22"/>
        </w:rPr>
        <w:t xml:space="preserve"> study by Sharifi et al.</w:t>
      </w:r>
      <w:r w:rsidRPr="008D4808">
        <w:rPr>
          <w:rFonts w:ascii="Times New Roman" w:hAnsi="Times New Roman" w:cs="Times New Roman"/>
          <w:noProof/>
          <w:sz w:val="22"/>
          <w:vertAlign w:val="superscript"/>
        </w:rPr>
        <w:t>10</w:t>
      </w:r>
      <w:r w:rsidR="007E2ABF" w:rsidRPr="008D4808">
        <w:rPr>
          <w:rFonts w:ascii="Times New Roman" w:hAnsi="Times New Roman" w:cs="Times New Roman"/>
          <w:sz w:val="22"/>
        </w:rPr>
        <w:t xml:space="preserve"> </w:t>
      </w:r>
      <w:r w:rsidRPr="008D4808">
        <w:rPr>
          <w:rFonts w:ascii="Times New Roman" w:hAnsi="Times New Roman" w:cs="Times New Roman"/>
          <w:sz w:val="22"/>
        </w:rPr>
        <w:t xml:space="preserve">and </w:t>
      </w:r>
      <w:r w:rsidR="007E2ABF" w:rsidRPr="008D4808">
        <w:rPr>
          <w:rFonts w:ascii="Times New Roman" w:hAnsi="Times New Roman" w:cs="Times New Roman"/>
          <w:sz w:val="22"/>
        </w:rPr>
        <w:t>the</w:t>
      </w:r>
      <w:r w:rsidRPr="008D4808">
        <w:rPr>
          <w:rFonts w:ascii="Times New Roman" w:hAnsi="Times New Roman" w:cs="Times New Roman"/>
          <w:sz w:val="22"/>
        </w:rPr>
        <w:t xml:space="preserve"> study by Farhadian et al.</w:t>
      </w:r>
      <w:r w:rsidRPr="008D4808">
        <w:rPr>
          <w:rFonts w:ascii="Times New Roman" w:hAnsi="Times New Roman" w:cs="Times New Roman"/>
          <w:noProof/>
          <w:sz w:val="22"/>
          <w:vertAlign w:val="superscript"/>
        </w:rPr>
        <w:t>12</w:t>
      </w:r>
      <w:r w:rsidRPr="008D4808">
        <w:rPr>
          <w:rFonts w:ascii="Times New Roman" w:hAnsi="Times New Roman" w:cs="Times New Roman"/>
          <w:sz w:val="22"/>
        </w:rPr>
        <w:t xml:space="preserve"> as “Combining ranks” and “Combining P values”, respectively, based on the DEGs </w:t>
      </w:r>
      <w:r w:rsidR="007E2ABF" w:rsidRPr="008D4808">
        <w:rPr>
          <w:rFonts w:ascii="Times New Roman" w:hAnsi="Times New Roman" w:cs="Times New Roman"/>
          <w:sz w:val="22"/>
        </w:rPr>
        <w:t>integration</w:t>
      </w:r>
      <w:r w:rsidRPr="008D4808">
        <w:rPr>
          <w:rFonts w:ascii="Times New Roman" w:hAnsi="Times New Roman" w:cs="Times New Roman"/>
          <w:sz w:val="22"/>
        </w:rPr>
        <w:t xml:space="preserve"> method</w:t>
      </w:r>
      <w:r w:rsidR="007E2ABF" w:rsidRPr="008D4808">
        <w:rPr>
          <w:rFonts w:ascii="Times New Roman" w:hAnsi="Times New Roman" w:cs="Times New Roman"/>
          <w:sz w:val="22"/>
        </w:rPr>
        <w:t>s</w:t>
      </w:r>
      <w:r w:rsidRPr="008D4808">
        <w:rPr>
          <w:rFonts w:ascii="Times New Roman" w:hAnsi="Times New Roman" w:cs="Times New Roman"/>
          <w:sz w:val="22"/>
        </w:rPr>
        <w:t>. In addition, we named the Com</w:t>
      </w:r>
      <w:r w:rsidR="007155B7" w:rsidRPr="008D4808">
        <w:rPr>
          <w:rFonts w:ascii="Times New Roman" w:hAnsi="Times New Roman" w:cs="Times New Roman"/>
          <w:sz w:val="22"/>
        </w:rPr>
        <w:t>B</w:t>
      </w:r>
      <w:r w:rsidRPr="008D4808">
        <w:rPr>
          <w:rFonts w:ascii="Times New Roman" w:hAnsi="Times New Roman" w:cs="Times New Roman"/>
          <w:sz w:val="22"/>
        </w:rPr>
        <w:t xml:space="preserve">at approach and </w:t>
      </w:r>
      <w:r w:rsidR="007E2ABF" w:rsidRPr="008D4808">
        <w:rPr>
          <w:rFonts w:ascii="Times New Roman" w:hAnsi="Times New Roman" w:cs="Times New Roman"/>
          <w:sz w:val="22"/>
        </w:rPr>
        <w:t>the</w:t>
      </w:r>
      <w:r w:rsidRPr="008D4808">
        <w:rPr>
          <w:rFonts w:ascii="Times New Roman" w:hAnsi="Times New Roman" w:cs="Times New Roman"/>
          <w:sz w:val="22"/>
        </w:rPr>
        <w:t xml:space="preserve"> study by Mohammadi-Dehcheshmeh et al </w:t>
      </w:r>
      <w:r w:rsidRPr="008D4808">
        <w:rPr>
          <w:rFonts w:ascii="Times New Roman" w:hAnsi="Times New Roman" w:cs="Times New Roman"/>
          <w:noProof/>
          <w:sz w:val="22"/>
          <w:vertAlign w:val="superscript"/>
        </w:rPr>
        <w:t>11</w:t>
      </w:r>
      <w:r w:rsidRPr="008D4808">
        <w:rPr>
          <w:rFonts w:ascii="Times New Roman" w:hAnsi="Times New Roman" w:cs="Times New Roman"/>
          <w:sz w:val="22"/>
        </w:rPr>
        <w:t xml:space="preserve"> as “ComBat” and “S&amp;Q (Scaling &amp; Quartiling)”, respectively, based on the batch removal method.</w:t>
      </w:r>
    </w:p>
    <w:p w:rsidR="00373F44" w:rsidRPr="008D4808" w:rsidRDefault="00373F44" w:rsidP="00DD1FDE">
      <w:pPr>
        <w:pStyle w:val="a3"/>
        <w:spacing w:line="360" w:lineRule="auto"/>
        <w:rPr>
          <w:rFonts w:ascii="Times New Roman" w:hAnsi="Times New Roman" w:cs="Times New Roman"/>
          <w:sz w:val="22"/>
        </w:rPr>
      </w:pPr>
    </w:p>
    <w:p w:rsidR="00373F44" w:rsidRPr="008D4808" w:rsidRDefault="00373F44" w:rsidP="00DD1FDE">
      <w:pPr>
        <w:pStyle w:val="a3"/>
        <w:spacing w:line="360" w:lineRule="auto"/>
        <w:rPr>
          <w:rFonts w:ascii="Times New Roman" w:hAnsi="Times New Roman" w:cs="Times New Roman"/>
          <w:b/>
          <w:i/>
          <w:sz w:val="22"/>
        </w:rPr>
      </w:pPr>
      <w:r w:rsidRPr="008D4808">
        <w:rPr>
          <w:rFonts w:ascii="Times New Roman" w:hAnsi="Times New Roman" w:cs="Times New Roman"/>
          <w:b/>
          <w:i/>
          <w:sz w:val="22"/>
        </w:rPr>
        <w:t>Performance assessment</w:t>
      </w:r>
    </w:p>
    <w:p w:rsidR="00373F44" w:rsidRPr="008D4808" w:rsidRDefault="00373F44" w:rsidP="00DD1FDE">
      <w:pPr>
        <w:pStyle w:val="a3"/>
        <w:spacing w:line="360" w:lineRule="auto"/>
        <w:rPr>
          <w:rFonts w:ascii="Times New Roman" w:hAnsi="Times New Roman" w:cs="Times New Roman"/>
          <w:sz w:val="22"/>
        </w:rPr>
      </w:pPr>
      <w:r w:rsidRPr="008D4808">
        <w:rPr>
          <w:rFonts w:ascii="Times New Roman" w:hAnsi="Times New Roman" w:cs="Times New Roman"/>
          <w:sz w:val="22"/>
        </w:rPr>
        <w:t>Performance was evaluated via internal (five-fold CV within each dataset) and external validation (training and test sets from different datasets). In the external validation, when ADNI data was used as a training set, the other two datasets, ANM1 and ANM2, were used as test sets. Similarly, when ANM1 (ANM2) was used a training set, the other two datasets ADNI and ANM2 (ADNI and ANM1), were used as test sets. In total, six external validations are performed.</w:t>
      </w:r>
    </w:p>
    <w:p w:rsidR="00373F44" w:rsidRPr="008D4808" w:rsidRDefault="00373F44" w:rsidP="00454EBF">
      <w:pPr>
        <w:pStyle w:val="a3"/>
        <w:spacing w:line="360" w:lineRule="auto"/>
        <w:ind w:firstLine="800"/>
        <w:rPr>
          <w:rFonts w:ascii="Times New Roman" w:hAnsi="Times New Roman" w:cs="Times New Roman"/>
          <w:sz w:val="22"/>
        </w:rPr>
      </w:pPr>
      <w:r w:rsidRPr="008D4808">
        <w:rPr>
          <w:rFonts w:ascii="Times New Roman" w:hAnsi="Times New Roman" w:cs="Times New Roman"/>
          <w:sz w:val="22"/>
        </w:rPr>
        <w:t xml:space="preserve">An Area under the Receiver Operator Characteristic Curve (AUC) between true positives and false </w:t>
      </w:r>
      <w:r w:rsidR="0004604F" w:rsidRPr="008D4808">
        <w:rPr>
          <w:rFonts w:ascii="Times New Roman" w:hAnsi="Times New Roman" w:cs="Times New Roman"/>
          <w:sz w:val="22"/>
        </w:rPr>
        <w:t>positives</w:t>
      </w:r>
      <w:r w:rsidRPr="008D4808">
        <w:rPr>
          <w:rFonts w:ascii="Times New Roman" w:hAnsi="Times New Roman" w:cs="Times New Roman"/>
          <w:sz w:val="22"/>
        </w:rPr>
        <w:t xml:space="preserve"> was used to assess performance of AD classification models [15, 18-21]. For comparison </w:t>
      </w:r>
      <w:r w:rsidRPr="008D4808">
        <w:rPr>
          <w:rFonts w:ascii="Times New Roman" w:hAnsi="Times New Roman" w:cs="Times New Roman"/>
          <w:sz w:val="22"/>
        </w:rPr>
        <w:lastRenderedPageBreak/>
        <w:t>of results, we also utilized the AUC to quantify the respective classifying po</w:t>
      </w:r>
      <w:r w:rsidRPr="006527D3">
        <w:rPr>
          <w:rFonts w:ascii="Times New Roman" w:hAnsi="Times New Roman" w:cs="Times New Roman"/>
          <w:sz w:val="22"/>
        </w:rPr>
        <w:t>wer of each model. Owing to the fact that VAE and DNN</w:t>
      </w:r>
      <w:r w:rsidRPr="008D4808">
        <w:rPr>
          <w:rFonts w:ascii="Times New Roman" w:hAnsi="Times New Roman" w:cs="Times New Roman"/>
          <w:sz w:val="22"/>
        </w:rPr>
        <w:t xml:space="preserve"> models generated different outputs depending on initialized values of parameters, performance was measured as the average value of 10 outputs from 10 different operations.</w:t>
      </w:r>
      <w:r w:rsidRPr="008D4808">
        <w:rPr>
          <w:rFonts w:ascii="Times New Roman" w:hAnsi="Times New Roman" w:cs="Times New Roman" w:hint="eastAsia"/>
          <w:sz w:val="22"/>
        </w:rPr>
        <w:t xml:space="preserve"> </w:t>
      </w:r>
    </w:p>
    <w:p w:rsidR="00373F44" w:rsidRPr="008D4808" w:rsidRDefault="00373F44" w:rsidP="00816426">
      <w:pPr>
        <w:pStyle w:val="a3"/>
        <w:spacing w:line="360" w:lineRule="auto"/>
        <w:ind w:firstLine="800"/>
        <w:rPr>
          <w:rFonts w:ascii="Times New Roman" w:hAnsi="Times New Roman" w:cs="Times New Roman"/>
          <w:sz w:val="22"/>
        </w:rPr>
      </w:pPr>
      <w:r w:rsidRPr="008D4808">
        <w:rPr>
          <w:rFonts w:ascii="Times New Roman" w:hAnsi="Times New Roman" w:cs="Times New Roman"/>
          <w:sz w:val="22"/>
        </w:rPr>
        <w:t xml:space="preserve">In the internal validation, </w:t>
      </w:r>
      <w:r w:rsidR="00D7196F" w:rsidRPr="008D4808">
        <w:rPr>
          <w:rFonts w:ascii="Times New Roman" w:hAnsi="Times New Roman" w:cs="Times New Roman"/>
          <w:sz w:val="22"/>
        </w:rPr>
        <w:t xml:space="preserve">to obtain statistical significance of difference of performances, we applied a </w:t>
      </w:r>
      <w:r w:rsidR="00D7196F" w:rsidRPr="008D4808">
        <w:rPr>
          <w:rFonts w:ascii="Times New Roman" w:hAnsi="Times New Roman" w:cs="Times New Roman"/>
          <w:i/>
          <w:sz w:val="22"/>
        </w:rPr>
        <w:t>t</w:t>
      </w:r>
      <w:r w:rsidR="00D7196F" w:rsidRPr="008D4808">
        <w:rPr>
          <w:rFonts w:ascii="Times New Roman" w:hAnsi="Times New Roman" w:cs="Times New Roman"/>
          <w:sz w:val="22"/>
        </w:rPr>
        <w:t xml:space="preserve">-test using five AUC values obtained from five-fold CV </w:t>
      </w:r>
      <w:r w:rsidRPr="008D4808">
        <w:rPr>
          <w:rFonts w:ascii="Times New Roman" w:hAnsi="Times New Roman" w:cs="Times New Roman"/>
          <w:sz w:val="22"/>
        </w:rPr>
        <w:t>set</w:t>
      </w:r>
      <w:r w:rsidR="00D7196F" w:rsidRPr="008D4808">
        <w:rPr>
          <w:rFonts w:ascii="Times New Roman" w:hAnsi="Times New Roman" w:cs="Times New Roman"/>
          <w:sz w:val="22"/>
        </w:rPr>
        <w:t>s (</w:t>
      </w:r>
      <w:r w:rsidRPr="008D4808">
        <w:rPr>
          <w:rFonts w:ascii="Times New Roman" w:hAnsi="Times New Roman" w:cs="Times New Roman"/>
          <w:sz w:val="22"/>
        </w:rPr>
        <w:t xml:space="preserve">Supplementary Table </w:t>
      </w:r>
      <w:r w:rsidR="00474E67" w:rsidRPr="008D4808">
        <w:rPr>
          <w:rFonts w:ascii="Times New Roman" w:hAnsi="Times New Roman" w:cs="Times New Roman"/>
          <w:sz w:val="22"/>
        </w:rPr>
        <w:t>S</w:t>
      </w:r>
      <w:r w:rsidRPr="008D4808">
        <w:rPr>
          <w:rFonts w:ascii="Times New Roman" w:hAnsi="Times New Roman" w:cs="Times New Roman"/>
          <w:sz w:val="22"/>
        </w:rPr>
        <w:t>5</w:t>
      </w:r>
      <w:r w:rsidR="00D7196F" w:rsidRPr="008D4808">
        <w:rPr>
          <w:rFonts w:ascii="Times New Roman" w:hAnsi="Times New Roman" w:cs="Times New Roman"/>
          <w:sz w:val="22"/>
        </w:rPr>
        <w:t>)</w:t>
      </w:r>
      <w:r w:rsidRPr="008D4808">
        <w:rPr>
          <w:rFonts w:ascii="Times New Roman" w:hAnsi="Times New Roman" w:cs="Times New Roman"/>
          <w:sz w:val="22"/>
        </w:rPr>
        <w:t xml:space="preserve">. </w:t>
      </w:r>
      <w:r w:rsidR="00D7196F" w:rsidRPr="008D4808">
        <w:rPr>
          <w:rFonts w:ascii="Times New Roman" w:hAnsi="Times New Roman" w:cs="Times New Roman"/>
          <w:sz w:val="22"/>
        </w:rPr>
        <w:t xml:space="preserve">For the comparison of </w:t>
      </w:r>
      <w:r w:rsidRPr="008D4808">
        <w:rPr>
          <w:rFonts w:ascii="Times New Roman" w:hAnsi="Times New Roman" w:cs="Times New Roman"/>
          <w:sz w:val="22"/>
        </w:rPr>
        <w:t xml:space="preserve">the five feature selection methods, </w:t>
      </w:r>
      <w:r w:rsidR="00D7196F" w:rsidRPr="008D4808">
        <w:rPr>
          <w:rFonts w:ascii="Times New Roman" w:hAnsi="Times New Roman" w:cs="Times New Roman"/>
          <w:sz w:val="22"/>
        </w:rPr>
        <w:t xml:space="preserve">for each feature selection method, </w:t>
      </w:r>
      <w:r w:rsidRPr="008D4808">
        <w:rPr>
          <w:rFonts w:ascii="Times New Roman" w:hAnsi="Times New Roman" w:cs="Times New Roman"/>
          <w:sz w:val="22"/>
        </w:rPr>
        <w:t>we curated the 25 AUC values from the five cross-validation sets and five classifiers.</w:t>
      </w:r>
      <w:r w:rsidR="00D7196F" w:rsidRPr="008D4808">
        <w:rPr>
          <w:rFonts w:ascii="Times New Roman" w:hAnsi="Times New Roman" w:cs="Times New Roman"/>
          <w:sz w:val="22"/>
        </w:rPr>
        <w:t xml:space="preserve"> Then,</w:t>
      </w:r>
      <w:r w:rsidRPr="008D4808">
        <w:rPr>
          <w:rFonts w:ascii="Times New Roman" w:hAnsi="Times New Roman" w:cs="Times New Roman"/>
          <w:sz w:val="22"/>
        </w:rPr>
        <w:t xml:space="preserve"> </w:t>
      </w:r>
      <w:r w:rsidR="00D7196F" w:rsidRPr="008D4808">
        <w:rPr>
          <w:rFonts w:ascii="Times New Roman" w:hAnsi="Times New Roman" w:cs="Times New Roman"/>
          <w:sz w:val="22"/>
        </w:rPr>
        <w:t>t</w:t>
      </w:r>
      <w:r w:rsidRPr="008D4808">
        <w:rPr>
          <w:rFonts w:ascii="Times New Roman" w:hAnsi="Times New Roman" w:cs="Times New Roman"/>
          <w:sz w:val="22"/>
        </w:rPr>
        <w:t xml:space="preserve">he </w:t>
      </w:r>
      <w:r w:rsidRPr="008D4808">
        <w:rPr>
          <w:rFonts w:ascii="Times New Roman" w:hAnsi="Times New Roman" w:cs="Times New Roman"/>
          <w:i/>
          <w:sz w:val="22"/>
        </w:rPr>
        <w:t>t</w:t>
      </w:r>
      <w:r w:rsidRPr="008D4808">
        <w:rPr>
          <w:rFonts w:ascii="Times New Roman" w:hAnsi="Times New Roman" w:cs="Times New Roman"/>
          <w:sz w:val="22"/>
        </w:rPr>
        <w:t>-</w:t>
      </w:r>
      <w:r w:rsidR="00D7196F" w:rsidRPr="008D4808">
        <w:rPr>
          <w:rFonts w:ascii="Times New Roman" w:hAnsi="Times New Roman" w:cs="Times New Roman"/>
          <w:sz w:val="22"/>
        </w:rPr>
        <w:t xml:space="preserve">test </w:t>
      </w:r>
      <w:r w:rsidRPr="008D4808">
        <w:rPr>
          <w:rFonts w:ascii="Times New Roman" w:hAnsi="Times New Roman" w:cs="Times New Roman"/>
          <w:sz w:val="22"/>
        </w:rPr>
        <w:t xml:space="preserve">was used for the comparison of </w:t>
      </w:r>
      <w:r w:rsidR="00D7196F" w:rsidRPr="008D4808">
        <w:rPr>
          <w:rFonts w:ascii="Times New Roman" w:hAnsi="Times New Roman" w:cs="Times New Roman"/>
          <w:sz w:val="22"/>
        </w:rPr>
        <w:t xml:space="preserve">one feature selection method and the other four </w:t>
      </w:r>
      <w:r w:rsidRPr="008D4808">
        <w:rPr>
          <w:rFonts w:ascii="Times New Roman" w:hAnsi="Times New Roman" w:cs="Times New Roman"/>
          <w:sz w:val="22"/>
        </w:rPr>
        <w:t>features selection methods</w:t>
      </w:r>
      <w:r w:rsidR="002D2E25" w:rsidRPr="008D4808">
        <w:rPr>
          <w:rFonts w:ascii="Times New Roman" w:hAnsi="Times New Roman" w:cs="Times New Roman"/>
          <w:sz w:val="22"/>
        </w:rPr>
        <w:t xml:space="preserve"> (25 AUC values</w:t>
      </w:r>
      <w:r w:rsidR="0080734B" w:rsidRPr="008D4808">
        <w:rPr>
          <w:rFonts w:ascii="Times New Roman" w:hAnsi="Times New Roman" w:cs="Times New Roman"/>
          <w:sz w:val="22"/>
        </w:rPr>
        <w:t xml:space="preserve"> of one feature selection method</w:t>
      </w:r>
      <w:r w:rsidR="002D2E25" w:rsidRPr="008D4808">
        <w:rPr>
          <w:rFonts w:ascii="Times New Roman" w:hAnsi="Times New Roman" w:cs="Times New Roman"/>
          <w:sz w:val="22"/>
        </w:rPr>
        <w:t xml:space="preserve"> </w:t>
      </w:r>
      <w:r w:rsidR="002D2E25" w:rsidRPr="008D4808">
        <w:rPr>
          <w:rFonts w:ascii="Times New Roman" w:hAnsi="Times New Roman" w:cs="Times New Roman"/>
          <w:i/>
          <w:sz w:val="22"/>
        </w:rPr>
        <w:t>vs</w:t>
      </w:r>
      <w:r w:rsidR="002D2E25" w:rsidRPr="008D4808">
        <w:rPr>
          <w:rFonts w:ascii="Times New Roman" w:hAnsi="Times New Roman" w:cs="Times New Roman"/>
          <w:sz w:val="22"/>
        </w:rPr>
        <w:t xml:space="preserve"> 100 AUC values of </w:t>
      </w:r>
      <w:r w:rsidR="00D7196F" w:rsidRPr="008D4808">
        <w:rPr>
          <w:rFonts w:ascii="Times New Roman" w:hAnsi="Times New Roman" w:cs="Times New Roman"/>
          <w:sz w:val="22"/>
        </w:rPr>
        <w:t xml:space="preserve">the </w:t>
      </w:r>
      <w:r w:rsidR="002D2E25" w:rsidRPr="008D4808">
        <w:rPr>
          <w:rFonts w:ascii="Times New Roman" w:hAnsi="Times New Roman" w:cs="Times New Roman"/>
          <w:sz w:val="22"/>
        </w:rPr>
        <w:t>other four feature selection methods)</w:t>
      </w:r>
      <w:r w:rsidRPr="008D4808">
        <w:rPr>
          <w:rFonts w:ascii="Times New Roman" w:hAnsi="Times New Roman" w:cs="Times New Roman"/>
          <w:sz w:val="22"/>
        </w:rPr>
        <w:t>.</w:t>
      </w:r>
    </w:p>
    <w:p w:rsidR="00373F44" w:rsidRPr="008D4808" w:rsidRDefault="00373F44" w:rsidP="00816426">
      <w:pPr>
        <w:pStyle w:val="a3"/>
        <w:spacing w:line="360" w:lineRule="auto"/>
        <w:ind w:firstLine="800"/>
        <w:rPr>
          <w:rFonts w:ascii="Times New Roman" w:hAnsi="Times New Roman" w:cs="Times New Roman"/>
          <w:sz w:val="22"/>
        </w:rPr>
      </w:pPr>
      <w:r w:rsidRPr="008D4808">
        <w:rPr>
          <w:rFonts w:ascii="Times New Roman" w:hAnsi="Times New Roman" w:cs="Times New Roman"/>
          <w:sz w:val="22"/>
        </w:rPr>
        <w:t xml:space="preserve">In the external validation, </w:t>
      </w:r>
      <w:r w:rsidR="00474E67" w:rsidRPr="008D4808">
        <w:rPr>
          <w:rFonts w:ascii="Times New Roman" w:hAnsi="Times New Roman" w:cs="Times New Roman"/>
          <w:sz w:val="22"/>
        </w:rPr>
        <w:t xml:space="preserve">because </w:t>
      </w:r>
      <w:r w:rsidRPr="008D4808">
        <w:rPr>
          <w:rFonts w:ascii="Times New Roman" w:hAnsi="Times New Roman" w:cs="Times New Roman"/>
          <w:sz w:val="22"/>
        </w:rPr>
        <w:t>only one AUC was resulted, we used a permutation-based approach proposed by Venkatraman et al.</w:t>
      </w:r>
      <w:r w:rsidRPr="008D4808">
        <w:rPr>
          <w:rFonts w:ascii="Times New Roman" w:hAnsi="Times New Roman" w:cs="Times New Roman"/>
          <w:noProof/>
          <w:sz w:val="22"/>
          <w:vertAlign w:val="superscript"/>
        </w:rPr>
        <w:t>38</w:t>
      </w:r>
      <w:r w:rsidRPr="008D4808">
        <w:rPr>
          <w:rFonts w:ascii="Times New Roman" w:hAnsi="Times New Roman" w:cs="Times New Roman"/>
          <w:sz w:val="22"/>
        </w:rPr>
        <w:t xml:space="preserve"> with </w:t>
      </w:r>
      <w:r w:rsidR="00474E67" w:rsidRPr="008D4808">
        <w:rPr>
          <w:rFonts w:ascii="Times New Roman" w:hAnsi="Times New Roman" w:cs="Times New Roman"/>
          <w:sz w:val="22"/>
        </w:rPr>
        <w:t xml:space="preserve">the </w:t>
      </w:r>
      <w:r w:rsidRPr="008D4808">
        <w:rPr>
          <w:rFonts w:ascii="Times New Roman" w:hAnsi="Times New Roman" w:cs="Times New Roman"/>
          <w:sz w:val="22"/>
        </w:rPr>
        <w:t>setting number of iteration</w:t>
      </w:r>
      <w:r w:rsidR="00474E67" w:rsidRPr="008D4808">
        <w:rPr>
          <w:rFonts w:ascii="Times New Roman" w:hAnsi="Times New Roman" w:cs="Times New Roman"/>
          <w:sz w:val="22"/>
        </w:rPr>
        <w:t>s</w:t>
      </w:r>
      <w:r w:rsidRPr="008D4808">
        <w:rPr>
          <w:rFonts w:ascii="Times New Roman" w:hAnsi="Times New Roman" w:cs="Times New Roman"/>
          <w:sz w:val="22"/>
        </w:rPr>
        <w:t xml:space="preserve"> as 200. We compared the five AUC values obtained from five classifiers in each feature selection method (</w:t>
      </w:r>
      <w:r w:rsidR="00474E67" w:rsidRPr="008D4808">
        <w:rPr>
          <w:rFonts w:ascii="Times New Roman" w:hAnsi="Times New Roman" w:cs="Times New Roman"/>
          <w:sz w:val="22"/>
        </w:rPr>
        <w:t>Supplementary Table</w:t>
      </w:r>
      <w:r w:rsidRPr="008D4808">
        <w:rPr>
          <w:rFonts w:ascii="Times New Roman" w:hAnsi="Times New Roman" w:cs="Times New Roman"/>
          <w:sz w:val="22"/>
        </w:rPr>
        <w:t xml:space="preserve"> S6). To compare the performances across the five feature selection methods, we set the AUC obtained from the DEG as the reference, and compared other four AUC values from other four feature selection methods with the reference (Table S6). We only checked significant result</w:t>
      </w:r>
      <w:r w:rsidR="002A5076" w:rsidRPr="008D4808">
        <w:rPr>
          <w:rFonts w:ascii="Times New Roman" w:hAnsi="Times New Roman" w:cs="Times New Roman"/>
          <w:sz w:val="22"/>
        </w:rPr>
        <w:t>s</w:t>
      </w:r>
      <w:r w:rsidRPr="008D4808">
        <w:rPr>
          <w:rFonts w:ascii="Times New Roman" w:hAnsi="Times New Roman" w:cs="Times New Roman"/>
          <w:sz w:val="22"/>
        </w:rPr>
        <w:t xml:space="preserve"> in Supplementary Table </w:t>
      </w:r>
      <w:r w:rsidR="00474E67" w:rsidRPr="008D4808">
        <w:rPr>
          <w:rFonts w:ascii="Times New Roman" w:hAnsi="Times New Roman" w:cs="Times New Roman"/>
          <w:sz w:val="22"/>
        </w:rPr>
        <w:t>S</w:t>
      </w:r>
      <w:r w:rsidRPr="008D4808">
        <w:rPr>
          <w:rFonts w:ascii="Times New Roman" w:hAnsi="Times New Roman" w:cs="Times New Roman"/>
          <w:sz w:val="22"/>
        </w:rPr>
        <w:t xml:space="preserve">6. </w:t>
      </w:r>
    </w:p>
    <w:p w:rsidR="00373F44" w:rsidRPr="008D4808" w:rsidRDefault="00373F44" w:rsidP="00816426">
      <w:pPr>
        <w:pStyle w:val="a3"/>
        <w:spacing w:line="360" w:lineRule="auto"/>
        <w:ind w:firstLine="800"/>
        <w:rPr>
          <w:rFonts w:ascii="Times New Roman" w:hAnsi="Times New Roman" w:cs="Times New Roman"/>
          <w:sz w:val="22"/>
        </w:rPr>
      </w:pPr>
      <w:r w:rsidRPr="008D4808">
        <w:rPr>
          <w:rFonts w:ascii="Times New Roman" w:hAnsi="Times New Roman" w:cs="Times New Roman"/>
          <w:sz w:val="22"/>
        </w:rPr>
        <w:t xml:space="preserve">For the six </w:t>
      </w:r>
      <w:r w:rsidR="002A5076" w:rsidRPr="008D4808">
        <w:rPr>
          <w:rFonts w:ascii="Times New Roman" w:hAnsi="Times New Roman" w:cs="Times New Roman"/>
          <w:sz w:val="22"/>
        </w:rPr>
        <w:t>comparisons</w:t>
      </w:r>
      <w:r w:rsidRPr="008D4808">
        <w:rPr>
          <w:rFonts w:ascii="Times New Roman" w:hAnsi="Times New Roman" w:cs="Times New Roman"/>
          <w:sz w:val="22"/>
        </w:rPr>
        <w:t xml:space="preserve"> </w:t>
      </w:r>
      <w:r w:rsidR="002A5076" w:rsidRPr="008D4808">
        <w:rPr>
          <w:rFonts w:ascii="Times New Roman" w:hAnsi="Times New Roman" w:cs="Times New Roman"/>
          <w:sz w:val="22"/>
        </w:rPr>
        <w:t>in</w:t>
      </w:r>
      <w:r w:rsidRPr="008D4808">
        <w:rPr>
          <w:rFonts w:ascii="Times New Roman" w:hAnsi="Times New Roman" w:cs="Times New Roman"/>
          <w:sz w:val="22"/>
        </w:rPr>
        <w:t xml:space="preserve"> the external validation (</w:t>
      </w:r>
      <w:r w:rsidR="00D853CC">
        <w:rPr>
          <w:rFonts w:ascii="Times New Roman" w:hAnsi="Times New Roman" w:cs="Times New Roman"/>
          <w:sz w:val="22"/>
        </w:rPr>
        <w:t>Figure</w:t>
      </w:r>
      <w:r w:rsidRPr="008D4808">
        <w:rPr>
          <w:rFonts w:ascii="Times New Roman" w:hAnsi="Times New Roman" w:cs="Times New Roman"/>
          <w:sz w:val="22"/>
        </w:rPr>
        <w:t xml:space="preserve"> 3), we selected the feature selection method with the best performance, yielding five AUC values from the five classifiers. We compared the five AUC values with other 20 </w:t>
      </w:r>
      <w:r w:rsidR="002A5076" w:rsidRPr="008D4808">
        <w:rPr>
          <w:rFonts w:ascii="Times New Roman" w:hAnsi="Times New Roman" w:cs="Times New Roman"/>
          <w:sz w:val="22"/>
        </w:rPr>
        <w:t xml:space="preserve">AUC </w:t>
      </w:r>
      <w:r w:rsidRPr="008D4808">
        <w:rPr>
          <w:rFonts w:ascii="Times New Roman" w:hAnsi="Times New Roman" w:cs="Times New Roman"/>
          <w:sz w:val="22"/>
        </w:rPr>
        <w:t>values via</w:t>
      </w:r>
      <w:r w:rsidR="002A5076" w:rsidRPr="008D4808">
        <w:rPr>
          <w:rFonts w:ascii="Times New Roman" w:hAnsi="Times New Roman" w:cs="Times New Roman"/>
          <w:sz w:val="22"/>
        </w:rPr>
        <w:t xml:space="preserve"> a</w:t>
      </w:r>
      <w:r w:rsidRPr="008D4808">
        <w:rPr>
          <w:rFonts w:ascii="Times New Roman" w:hAnsi="Times New Roman" w:cs="Times New Roman"/>
          <w:sz w:val="22"/>
        </w:rPr>
        <w:t xml:space="preserve"> </w:t>
      </w:r>
      <w:r w:rsidRPr="008D4808">
        <w:rPr>
          <w:rFonts w:ascii="Times New Roman" w:hAnsi="Times New Roman" w:cs="Times New Roman"/>
          <w:i/>
          <w:sz w:val="22"/>
        </w:rPr>
        <w:t>t</w:t>
      </w:r>
      <w:r w:rsidRPr="008D4808">
        <w:rPr>
          <w:rFonts w:ascii="Times New Roman" w:hAnsi="Times New Roman" w:cs="Times New Roman"/>
          <w:sz w:val="22"/>
        </w:rPr>
        <w:t>-test.</w:t>
      </w:r>
    </w:p>
    <w:p w:rsidR="00373F44" w:rsidRPr="008D4808" w:rsidRDefault="00373F44" w:rsidP="00CC4F7D">
      <w:pPr>
        <w:pStyle w:val="a3"/>
        <w:spacing w:line="360" w:lineRule="auto"/>
        <w:ind w:firstLine="800"/>
        <w:rPr>
          <w:rFonts w:ascii="Times New Roman" w:hAnsi="Times New Roman" w:cs="Times New Roman"/>
          <w:sz w:val="22"/>
        </w:rPr>
      </w:pPr>
    </w:p>
    <w:p w:rsidR="00373F44" w:rsidRPr="008D4808" w:rsidRDefault="00373F44" w:rsidP="00DD1FDE">
      <w:pPr>
        <w:pStyle w:val="a3"/>
        <w:spacing w:line="360" w:lineRule="auto"/>
        <w:rPr>
          <w:rFonts w:ascii="Times New Roman" w:hAnsi="Times New Roman" w:cs="Times New Roman"/>
          <w:b/>
          <w:i/>
          <w:sz w:val="22"/>
        </w:rPr>
      </w:pPr>
      <w:r w:rsidRPr="008D4808">
        <w:rPr>
          <w:rFonts w:ascii="Times New Roman" w:hAnsi="Times New Roman" w:cs="Times New Roman" w:hint="eastAsia"/>
          <w:b/>
          <w:i/>
          <w:sz w:val="22"/>
        </w:rPr>
        <w:t>A</w:t>
      </w:r>
      <w:r w:rsidRPr="008D4808">
        <w:rPr>
          <w:rFonts w:ascii="Times New Roman" w:hAnsi="Times New Roman" w:cs="Times New Roman"/>
          <w:b/>
          <w:i/>
          <w:sz w:val="22"/>
        </w:rPr>
        <w:t>djustment of age and gender in the batch normalization</w:t>
      </w:r>
    </w:p>
    <w:p w:rsidR="00130208" w:rsidRPr="008D4808" w:rsidRDefault="00373F44" w:rsidP="001A141E">
      <w:pPr>
        <w:pStyle w:val="a3"/>
        <w:spacing w:line="360" w:lineRule="auto"/>
        <w:rPr>
          <w:rFonts w:ascii="Times New Roman" w:hAnsi="Times New Roman" w:cs="Times New Roman"/>
          <w:sz w:val="22"/>
        </w:rPr>
      </w:pPr>
      <w:r w:rsidRPr="008D4808">
        <w:rPr>
          <w:rFonts w:ascii="Times New Roman" w:hAnsi="Times New Roman" w:cs="Times New Roman"/>
          <w:sz w:val="22"/>
        </w:rPr>
        <w:t xml:space="preserve">We adjusted </w:t>
      </w:r>
      <w:r w:rsidR="008C64AE" w:rsidRPr="008D4808">
        <w:rPr>
          <w:rFonts w:ascii="Times New Roman" w:hAnsi="Times New Roman" w:cs="Times New Roman"/>
          <w:sz w:val="22"/>
        </w:rPr>
        <w:t>gene expression values</w:t>
      </w:r>
      <w:r w:rsidRPr="008D4808">
        <w:rPr>
          <w:rFonts w:ascii="Times New Roman" w:hAnsi="Times New Roman" w:cs="Times New Roman"/>
          <w:sz w:val="22"/>
        </w:rPr>
        <w:t xml:space="preserve"> for confounding factors in the step of batch removal as</w:t>
      </w:r>
      <w:r w:rsidR="008C64AE" w:rsidRPr="008D4808">
        <w:rPr>
          <w:rFonts w:ascii="Times New Roman" w:hAnsi="Times New Roman" w:cs="Times New Roman"/>
          <w:sz w:val="22"/>
        </w:rPr>
        <w:t xml:space="preserve"> other</w:t>
      </w:r>
      <w:r w:rsidRPr="008D4808">
        <w:rPr>
          <w:rFonts w:ascii="Times New Roman" w:hAnsi="Times New Roman" w:cs="Times New Roman"/>
          <w:sz w:val="22"/>
        </w:rPr>
        <w:t xml:space="preserve"> stud</w:t>
      </w:r>
      <w:r w:rsidR="008C64AE" w:rsidRPr="008D4808">
        <w:rPr>
          <w:rFonts w:ascii="Times New Roman" w:hAnsi="Times New Roman" w:cs="Times New Roman"/>
          <w:sz w:val="22"/>
        </w:rPr>
        <w:t>ies</w:t>
      </w:r>
      <w:r w:rsidRPr="008D4808">
        <w:rPr>
          <w:rFonts w:ascii="Times New Roman" w:hAnsi="Times New Roman" w:cs="Times New Roman"/>
          <w:sz w:val="22"/>
        </w:rPr>
        <w:t xml:space="preserve"> performed </w:t>
      </w:r>
      <w:r w:rsidRPr="008D4808">
        <w:rPr>
          <w:rFonts w:ascii="Times New Roman" w:hAnsi="Times New Roman" w:cs="Times New Roman"/>
          <w:noProof/>
          <w:sz w:val="22"/>
          <w:vertAlign w:val="superscript"/>
        </w:rPr>
        <w:t>39</w:t>
      </w:r>
      <w:r w:rsidRPr="008D4808">
        <w:rPr>
          <w:rFonts w:ascii="Times New Roman" w:hAnsi="Times New Roman" w:cs="Times New Roman"/>
          <w:sz w:val="22"/>
        </w:rPr>
        <w:t>. The adjustment was conducted using</w:t>
      </w:r>
      <w:r w:rsidR="008C64AE" w:rsidRPr="008D4808">
        <w:rPr>
          <w:rFonts w:ascii="Times New Roman" w:hAnsi="Times New Roman" w:cs="Times New Roman"/>
          <w:sz w:val="22"/>
        </w:rPr>
        <w:t xml:space="preserve"> a</w:t>
      </w:r>
      <w:r w:rsidRPr="008D4808">
        <w:rPr>
          <w:rFonts w:ascii="Times New Roman" w:hAnsi="Times New Roman" w:cs="Times New Roman"/>
          <w:sz w:val="22"/>
        </w:rPr>
        <w:t xml:space="preserve"> </w:t>
      </w:r>
      <w:r w:rsidR="008555FF" w:rsidRPr="008D4808">
        <w:rPr>
          <w:rFonts w:ascii="Times New Roman" w:hAnsi="Times New Roman" w:cs="Times New Roman"/>
          <w:sz w:val="22"/>
        </w:rPr>
        <w:t>“</w:t>
      </w:r>
      <w:r w:rsidRPr="008D4808">
        <w:rPr>
          <w:rFonts w:ascii="Times New Roman" w:hAnsi="Times New Roman" w:cs="Times New Roman"/>
          <w:sz w:val="22"/>
        </w:rPr>
        <w:t>ComBat</w:t>
      </w:r>
      <w:r w:rsidR="008555FF" w:rsidRPr="008D4808">
        <w:rPr>
          <w:rFonts w:ascii="Times New Roman" w:hAnsi="Times New Roman" w:cs="Times New Roman"/>
          <w:sz w:val="22"/>
        </w:rPr>
        <w:t>”</w:t>
      </w:r>
      <w:r w:rsidRPr="008D4808">
        <w:rPr>
          <w:rFonts w:ascii="Times New Roman" w:hAnsi="Times New Roman" w:cs="Times New Roman"/>
          <w:sz w:val="22"/>
        </w:rPr>
        <w:t xml:space="preserve"> function with </w:t>
      </w:r>
      <w:r w:rsidR="008C64AE" w:rsidRPr="008D4808">
        <w:rPr>
          <w:rFonts w:ascii="Times New Roman" w:hAnsi="Times New Roman" w:cs="Times New Roman"/>
          <w:sz w:val="22"/>
        </w:rPr>
        <w:t xml:space="preserve">the </w:t>
      </w:r>
      <w:r w:rsidRPr="008D4808">
        <w:rPr>
          <w:rFonts w:ascii="Times New Roman" w:hAnsi="Times New Roman" w:cs="Times New Roman"/>
          <w:sz w:val="22"/>
        </w:rPr>
        <w:t xml:space="preserve">setting </w:t>
      </w:r>
      <w:r w:rsidR="008555FF" w:rsidRPr="008D4808">
        <w:rPr>
          <w:rFonts w:ascii="Times New Roman" w:hAnsi="Times New Roman" w:cs="Times New Roman"/>
          <w:sz w:val="22"/>
        </w:rPr>
        <w:t>“</w:t>
      </w:r>
      <w:r w:rsidRPr="008D4808">
        <w:rPr>
          <w:rFonts w:ascii="Times New Roman" w:hAnsi="Times New Roman" w:cs="Times New Roman"/>
          <w:sz w:val="22"/>
        </w:rPr>
        <w:t>mod</w:t>
      </w:r>
      <w:r w:rsidR="008555FF" w:rsidRPr="008D4808">
        <w:rPr>
          <w:rFonts w:ascii="Times New Roman" w:hAnsi="Times New Roman" w:cs="Times New Roman"/>
          <w:sz w:val="22"/>
        </w:rPr>
        <w:t>”</w:t>
      </w:r>
      <w:r w:rsidRPr="008D4808">
        <w:rPr>
          <w:rFonts w:ascii="Times New Roman" w:hAnsi="Times New Roman" w:cs="Times New Roman"/>
          <w:sz w:val="22"/>
        </w:rPr>
        <w:t xml:space="preserve"> as </w:t>
      </w:r>
      <w:r w:rsidR="00D853CC">
        <w:rPr>
          <w:rFonts w:ascii="Times New Roman" w:hAnsi="Times New Roman" w:cs="Times New Roman"/>
          <w:sz w:val="22"/>
        </w:rPr>
        <w:t>“</w:t>
      </w:r>
      <w:proofErr w:type="gramStart"/>
      <w:r w:rsidRPr="008D4808">
        <w:rPr>
          <w:rFonts w:ascii="Times New Roman" w:hAnsi="Times New Roman" w:cs="Times New Roman"/>
          <w:sz w:val="22"/>
        </w:rPr>
        <w:t>matrix( ~</w:t>
      </w:r>
      <w:proofErr w:type="gramEnd"/>
      <w:r w:rsidRPr="008D4808">
        <w:rPr>
          <w:rFonts w:ascii="Times New Roman" w:hAnsi="Times New Roman" w:cs="Times New Roman"/>
          <w:sz w:val="22"/>
        </w:rPr>
        <w:t xml:space="preserve"> age + gender)</w:t>
      </w:r>
      <w:r w:rsidR="00D853CC">
        <w:rPr>
          <w:rFonts w:ascii="Times New Roman" w:hAnsi="Times New Roman" w:cs="Times New Roman"/>
          <w:sz w:val="22"/>
        </w:rPr>
        <w:t>”</w:t>
      </w:r>
      <w:r w:rsidRPr="008D4808">
        <w:rPr>
          <w:rFonts w:ascii="Times New Roman" w:hAnsi="Times New Roman" w:cs="Times New Roman"/>
          <w:sz w:val="22"/>
        </w:rPr>
        <w:t xml:space="preserve"> in </w:t>
      </w:r>
      <w:r w:rsidR="008C64AE" w:rsidRPr="008D4808">
        <w:rPr>
          <w:rFonts w:ascii="Times New Roman" w:hAnsi="Times New Roman" w:cs="Times New Roman"/>
          <w:sz w:val="22"/>
        </w:rPr>
        <w:t xml:space="preserve">the </w:t>
      </w:r>
      <w:r w:rsidRPr="008D4808">
        <w:rPr>
          <w:rFonts w:ascii="Times New Roman" w:hAnsi="Times New Roman" w:cs="Times New Roman"/>
          <w:sz w:val="22"/>
        </w:rPr>
        <w:t>sva package. After removing batch effects of three datasets</w:t>
      </w:r>
      <w:r w:rsidR="008C64AE" w:rsidRPr="008D4808">
        <w:rPr>
          <w:rFonts w:ascii="Times New Roman" w:hAnsi="Times New Roman" w:cs="Times New Roman"/>
          <w:sz w:val="22"/>
        </w:rPr>
        <w:t xml:space="preserve"> (ADNI, ANM1, and ANM2)</w:t>
      </w:r>
      <w:r w:rsidRPr="008D4808">
        <w:rPr>
          <w:rFonts w:ascii="Times New Roman" w:hAnsi="Times New Roman" w:cs="Times New Roman"/>
          <w:sz w:val="22"/>
        </w:rPr>
        <w:t>, and adjusting age and gender for dataset</w:t>
      </w:r>
      <w:r w:rsidR="008C64AE" w:rsidRPr="008D4808">
        <w:rPr>
          <w:rFonts w:ascii="Times New Roman" w:hAnsi="Times New Roman" w:cs="Times New Roman"/>
          <w:sz w:val="22"/>
        </w:rPr>
        <w:t>s</w:t>
      </w:r>
      <w:r w:rsidRPr="008D4808">
        <w:rPr>
          <w:rFonts w:ascii="Times New Roman" w:hAnsi="Times New Roman" w:cs="Times New Roman"/>
          <w:sz w:val="22"/>
        </w:rPr>
        <w:t xml:space="preserve">, we established 25 AD prediction models using five feature lists (DEG, VAE, TF, Hub genes, and CFG) and five classifiers (LR, L1-LR, SVM, RF, and DNN). We made these 25 prediction models for each of the following cases as </w:t>
      </w:r>
      <w:r w:rsidR="008C64AE" w:rsidRPr="008D4808">
        <w:rPr>
          <w:rFonts w:ascii="Times New Roman" w:hAnsi="Times New Roman" w:cs="Times New Roman"/>
          <w:sz w:val="22"/>
        </w:rPr>
        <w:t xml:space="preserve">the </w:t>
      </w:r>
      <w:r w:rsidRPr="008D4808">
        <w:rPr>
          <w:rFonts w:ascii="Times New Roman" w:hAnsi="Times New Roman" w:cs="Times New Roman"/>
          <w:sz w:val="22"/>
        </w:rPr>
        <w:t xml:space="preserve">same </w:t>
      </w:r>
      <w:r w:rsidR="008C64AE" w:rsidRPr="008D4808">
        <w:rPr>
          <w:rFonts w:ascii="Times New Roman" w:hAnsi="Times New Roman" w:cs="Times New Roman"/>
          <w:sz w:val="22"/>
        </w:rPr>
        <w:t>as</w:t>
      </w:r>
      <w:r w:rsidRPr="008D4808">
        <w:rPr>
          <w:rFonts w:ascii="Times New Roman" w:hAnsi="Times New Roman" w:cs="Times New Roman"/>
          <w:sz w:val="22"/>
        </w:rPr>
        <w:t xml:space="preserve"> our previous external validation (training &amp; test sets): ADNI &amp; ANM1, ADNI &amp; ANM2, ANM1 &amp; ADNI, ANM1 &amp; ANM2, ANM2 &amp; ADNI, and ANM2 &amp; ANM1.</w:t>
      </w:r>
    </w:p>
    <w:p w:rsidR="00373F44" w:rsidRPr="008D4808" w:rsidRDefault="00130208" w:rsidP="00130208">
      <w:pPr>
        <w:widowControl/>
        <w:wordWrap/>
        <w:autoSpaceDE/>
        <w:autoSpaceDN/>
        <w:rPr>
          <w:rFonts w:ascii="Times New Roman" w:hAnsi="Times New Roman" w:cs="Times New Roman"/>
          <w:sz w:val="22"/>
        </w:rPr>
      </w:pPr>
      <w:r w:rsidRPr="008D4808">
        <w:rPr>
          <w:rFonts w:ascii="Times New Roman" w:hAnsi="Times New Roman" w:cs="Times New Roman"/>
          <w:sz w:val="22"/>
        </w:rPr>
        <w:br w:type="page"/>
      </w:r>
      <w:r w:rsidR="00373F44" w:rsidRPr="008D4808">
        <w:rPr>
          <w:rFonts w:ascii="Times New Roman" w:hAnsi="Times New Roman" w:cs="Times New Roman"/>
          <w:b/>
          <w:sz w:val="22"/>
        </w:rPr>
        <w:lastRenderedPageBreak/>
        <w:t>Reference</w:t>
      </w:r>
    </w:p>
    <w:p w:rsidR="00373F44" w:rsidRPr="0095528B" w:rsidRDefault="00373F44" w:rsidP="0095528B">
      <w:pPr>
        <w:pStyle w:val="EndNoteBibliography"/>
        <w:ind w:left="720" w:hanging="720"/>
      </w:pPr>
      <w:r w:rsidRPr="0095528B">
        <w:t>1.</w:t>
      </w:r>
      <w:r w:rsidRPr="0095528B">
        <w:tab/>
        <w:t>Booij BB</w:t>
      </w:r>
      <w:r w:rsidRPr="0095528B">
        <w:rPr>
          <w:i/>
        </w:rPr>
        <w:t>, et al.</w:t>
      </w:r>
      <w:r w:rsidRPr="0095528B">
        <w:t xml:space="preserve"> A gene expression pattern in blood for the early detection of Alzheimer's disease. </w:t>
      </w:r>
      <w:r w:rsidRPr="0095528B">
        <w:rPr>
          <w:i/>
        </w:rPr>
        <w:t>J Alzheimers Dis</w:t>
      </w:r>
      <w:r w:rsidRPr="0095528B">
        <w:t xml:space="preserve"> </w:t>
      </w:r>
      <w:r w:rsidRPr="0095528B">
        <w:rPr>
          <w:b/>
        </w:rPr>
        <w:t>23</w:t>
      </w:r>
      <w:r w:rsidRPr="0095528B">
        <w:t>, 109-119 (2011).</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2.</w:t>
      </w:r>
      <w:r w:rsidRPr="0095528B">
        <w:tab/>
        <w:t>Lunnon K</w:t>
      </w:r>
      <w:r w:rsidRPr="0095528B">
        <w:rPr>
          <w:i/>
        </w:rPr>
        <w:t>, et al.</w:t>
      </w:r>
      <w:r w:rsidRPr="0095528B">
        <w:t xml:space="preserve"> A blood gene expression marker of early Alzheimer's disease. </w:t>
      </w:r>
      <w:r w:rsidRPr="0095528B">
        <w:rPr>
          <w:i/>
        </w:rPr>
        <w:t>J Alzheimers Dis</w:t>
      </w:r>
      <w:r w:rsidRPr="0095528B">
        <w:t xml:space="preserve"> </w:t>
      </w:r>
      <w:r w:rsidRPr="0095528B">
        <w:rPr>
          <w:b/>
        </w:rPr>
        <w:t>33</w:t>
      </w:r>
      <w:r w:rsidRPr="0095528B">
        <w:t>, 737-753 (2013).</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3.</w:t>
      </w:r>
      <w:r w:rsidRPr="0095528B">
        <w:tab/>
        <w:t xml:space="preserve">Meng YA., Yu Y., Cupples LA., Farrer LA &amp; Lunetta KL. Performance of random forest when SNPs are in linkage disequilibrium. </w:t>
      </w:r>
      <w:r w:rsidRPr="0095528B">
        <w:rPr>
          <w:i/>
        </w:rPr>
        <w:t>BMC Bioinformatics</w:t>
      </w:r>
      <w:r w:rsidRPr="0095528B">
        <w:t xml:space="preserve"> </w:t>
      </w:r>
      <w:r w:rsidRPr="0095528B">
        <w:rPr>
          <w:b/>
        </w:rPr>
        <w:t>10</w:t>
      </w:r>
      <w:r w:rsidRPr="0095528B">
        <w:t>, 78 (2009).</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4.</w:t>
      </w:r>
      <w:r w:rsidRPr="0095528B">
        <w:tab/>
        <w:t>Sood S</w:t>
      </w:r>
      <w:r w:rsidRPr="0095528B">
        <w:rPr>
          <w:i/>
        </w:rPr>
        <w:t>, et al.</w:t>
      </w:r>
      <w:r w:rsidRPr="0095528B">
        <w:t xml:space="preserve"> A novel multi-tissue RNA diagnostic of healthy ageing relates to cognitive health status. </w:t>
      </w:r>
      <w:r w:rsidRPr="0095528B">
        <w:rPr>
          <w:i/>
        </w:rPr>
        <w:t>Genome Biol</w:t>
      </w:r>
      <w:r w:rsidRPr="0095528B">
        <w:t xml:space="preserve"> </w:t>
      </w:r>
      <w:r w:rsidRPr="0095528B">
        <w:rPr>
          <w:b/>
        </w:rPr>
        <w:t>16</w:t>
      </w:r>
      <w:r w:rsidRPr="0095528B">
        <w:t>, 185 (2015).</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5.</w:t>
      </w:r>
      <w:r w:rsidRPr="0095528B">
        <w:tab/>
        <w:t>Voyle N</w:t>
      </w:r>
      <w:r w:rsidRPr="0095528B">
        <w:rPr>
          <w:i/>
        </w:rPr>
        <w:t>, et al.</w:t>
      </w:r>
      <w:r w:rsidRPr="0095528B">
        <w:t xml:space="preserve"> A pathway based classification method for analyzing gene expression for Alzheimer’s disease diagnosis. </w:t>
      </w:r>
      <w:r w:rsidRPr="0095528B">
        <w:rPr>
          <w:i/>
        </w:rPr>
        <w:t>J Alzheimers Dis</w:t>
      </w:r>
      <w:r w:rsidRPr="0095528B">
        <w:t xml:space="preserve"> </w:t>
      </w:r>
      <w:r w:rsidRPr="0095528B">
        <w:rPr>
          <w:b/>
        </w:rPr>
        <w:t>49</w:t>
      </w:r>
      <w:r w:rsidRPr="0095528B">
        <w:t>, 659-669 (2016).</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6.</w:t>
      </w:r>
      <w:r w:rsidRPr="0095528B">
        <w:tab/>
        <w:t>Li H</w:t>
      </w:r>
      <w:r w:rsidRPr="0095528B">
        <w:rPr>
          <w:i/>
        </w:rPr>
        <w:t>, et al.</w:t>
      </w:r>
      <w:r w:rsidRPr="0095528B">
        <w:t xml:space="preserve"> Identification of molecular alterations in leukocytes from gene expression profiles of peripheral whole blood of Alzheimer’s disease. </w:t>
      </w:r>
      <w:r w:rsidRPr="0095528B">
        <w:rPr>
          <w:i/>
        </w:rPr>
        <w:t>Sci Rep</w:t>
      </w:r>
      <w:r w:rsidRPr="0095528B">
        <w:t xml:space="preserve"> </w:t>
      </w:r>
      <w:r w:rsidRPr="0095528B">
        <w:rPr>
          <w:b/>
        </w:rPr>
        <w:t>7</w:t>
      </w:r>
      <w:r w:rsidRPr="0095528B">
        <w:t>, 14027 (2017).</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7.</w:t>
      </w:r>
      <w:r w:rsidRPr="0095528B">
        <w:tab/>
        <w:t>Li X</w:t>
      </w:r>
      <w:r w:rsidRPr="0095528B">
        <w:rPr>
          <w:i/>
        </w:rPr>
        <w:t>, et al.</w:t>
      </w:r>
      <w:r w:rsidRPr="0095528B">
        <w:t xml:space="preserve"> Systematic analysis and biomarker study for Alzheimer’s disease. </w:t>
      </w:r>
      <w:r w:rsidRPr="0095528B">
        <w:rPr>
          <w:i/>
        </w:rPr>
        <w:t>Sci Rep</w:t>
      </w:r>
      <w:r w:rsidRPr="0095528B">
        <w:t xml:space="preserve"> </w:t>
      </w:r>
      <w:r w:rsidRPr="0095528B">
        <w:rPr>
          <w:b/>
        </w:rPr>
        <w:t>8</w:t>
      </w:r>
      <w:r w:rsidRPr="0095528B">
        <w:t>, 17394 (2018).</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8.</w:t>
      </w:r>
      <w:r w:rsidRPr="0095528B">
        <w:tab/>
        <w:t>Mueller SG</w:t>
      </w:r>
      <w:r w:rsidRPr="0095528B">
        <w:rPr>
          <w:i/>
        </w:rPr>
        <w:t>, et al.</w:t>
      </w:r>
      <w:r w:rsidRPr="0095528B">
        <w:t xml:space="preserve"> Ways toward an early diagnosis in Alzheimer’s disease: the Alzheimer’s Disease Neuroimaging Initiative (ADNI). </w:t>
      </w:r>
      <w:r w:rsidRPr="0095528B">
        <w:rPr>
          <w:i/>
        </w:rPr>
        <w:t xml:space="preserve">Alzheimers Dement </w:t>
      </w:r>
      <w:r w:rsidRPr="0095528B">
        <w:rPr>
          <w:b/>
        </w:rPr>
        <w:t>1</w:t>
      </w:r>
      <w:r w:rsidRPr="0095528B">
        <w:t>, 55-66 (2005).</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9.</w:t>
      </w:r>
      <w:r w:rsidRPr="0095528B">
        <w:tab/>
        <w:t>Lovestone S</w:t>
      </w:r>
      <w:r w:rsidRPr="0095528B">
        <w:rPr>
          <w:i/>
        </w:rPr>
        <w:t>, et al.</w:t>
      </w:r>
      <w:r w:rsidRPr="0095528B">
        <w:t xml:space="preserve"> AddNeuroMed—the European collaboration for the discovery of novel biomarkers for Alzheimer's disease.</w:t>
      </w:r>
      <w:r w:rsidRPr="0095528B">
        <w:rPr>
          <w:i/>
        </w:rPr>
        <w:t xml:space="preserve"> Ann N Y Acad Sci</w:t>
      </w:r>
      <w:r w:rsidRPr="0095528B">
        <w:t xml:space="preserve"> </w:t>
      </w:r>
      <w:r w:rsidRPr="0095528B">
        <w:rPr>
          <w:b/>
        </w:rPr>
        <w:t>1180</w:t>
      </w:r>
      <w:r w:rsidRPr="0095528B">
        <w:t>, 36-46 (2009).</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10.</w:t>
      </w:r>
      <w:r w:rsidRPr="0095528B">
        <w:tab/>
        <w:t>McKhann G</w:t>
      </w:r>
      <w:r w:rsidRPr="0095528B">
        <w:rPr>
          <w:i/>
        </w:rPr>
        <w:t>, et al.</w:t>
      </w:r>
      <w:r w:rsidRPr="0095528B">
        <w:t xml:space="preserve"> Clinical diagnosis of Alzheimer's disease: Report of the NINCDS‐ADRDA Work Group* under the auspices of Department of Health and Human Services Task Force on Alzheimer's Disease. </w:t>
      </w:r>
      <w:r w:rsidRPr="0095528B">
        <w:rPr>
          <w:i/>
        </w:rPr>
        <w:t>Neurology</w:t>
      </w:r>
      <w:r w:rsidRPr="0095528B">
        <w:t xml:space="preserve"> </w:t>
      </w:r>
      <w:r w:rsidRPr="0095528B">
        <w:rPr>
          <w:b/>
        </w:rPr>
        <w:t>34</w:t>
      </w:r>
      <w:r w:rsidRPr="0095528B">
        <w:t>, 939-939 (1984).</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11.</w:t>
      </w:r>
      <w:r w:rsidRPr="0095528B">
        <w:tab/>
        <w:t>Team RC. R: A language and environment for statistical computing.  (2013).</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12.</w:t>
      </w:r>
      <w:r w:rsidRPr="0095528B">
        <w:tab/>
        <w:t>Gentleman RC</w:t>
      </w:r>
      <w:r w:rsidRPr="0095528B">
        <w:rPr>
          <w:i/>
        </w:rPr>
        <w:t>, et al.</w:t>
      </w:r>
      <w:r w:rsidRPr="0095528B">
        <w:t xml:space="preserve"> Bioconductor: open software development for computational biology and bioinformatics. </w:t>
      </w:r>
      <w:r w:rsidRPr="0095528B">
        <w:rPr>
          <w:i/>
        </w:rPr>
        <w:t>Genome Biol</w:t>
      </w:r>
      <w:r w:rsidRPr="0095528B">
        <w:t xml:space="preserve"> </w:t>
      </w:r>
      <w:r w:rsidRPr="0095528B">
        <w:rPr>
          <w:b/>
        </w:rPr>
        <w:t>5</w:t>
      </w:r>
      <w:r w:rsidRPr="0095528B">
        <w:t>, R80 (2004).</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13.</w:t>
      </w:r>
      <w:r w:rsidRPr="0095528B">
        <w:tab/>
        <w:t>Abadi M</w:t>
      </w:r>
      <w:r w:rsidRPr="0095528B">
        <w:rPr>
          <w:i/>
        </w:rPr>
        <w:t>, et al.</w:t>
      </w:r>
      <w:r w:rsidRPr="0095528B">
        <w:t xml:space="preserve"> Tensorflow: A system for large-scale machine learning. In: </w:t>
      </w:r>
      <w:r w:rsidRPr="0095528B">
        <w:rPr>
          <w:i/>
        </w:rPr>
        <w:t>12th {USENIX} Symposium on Operating Systems Design and Implementation ({OSDI} 16)</w:t>
      </w:r>
      <w:r w:rsidRPr="0095528B">
        <w:t xml:space="preserve"> (ed^(eds) (2016).</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14.</w:t>
      </w:r>
      <w:r w:rsidRPr="0095528B">
        <w:tab/>
        <w:t>Hokama M</w:t>
      </w:r>
      <w:r w:rsidRPr="0095528B">
        <w:rPr>
          <w:i/>
        </w:rPr>
        <w:t>, et al.</w:t>
      </w:r>
      <w:r w:rsidRPr="0095528B">
        <w:t xml:space="preserve"> Altered expression of diabetes-related genes in Alzheimer's disease brains: the Hisayama study. </w:t>
      </w:r>
      <w:r w:rsidRPr="0095528B">
        <w:rPr>
          <w:i/>
        </w:rPr>
        <w:t>Cereb Cortex</w:t>
      </w:r>
      <w:r w:rsidRPr="0095528B">
        <w:t xml:space="preserve"> </w:t>
      </w:r>
      <w:r w:rsidRPr="0095528B">
        <w:rPr>
          <w:b/>
        </w:rPr>
        <w:t>24</w:t>
      </w:r>
      <w:r w:rsidRPr="0095528B">
        <w:t>, 2476-2488 (2013).</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15.</w:t>
      </w:r>
      <w:r w:rsidRPr="0095528B">
        <w:tab/>
        <w:t>Antonell A</w:t>
      </w:r>
      <w:r w:rsidRPr="0095528B">
        <w:rPr>
          <w:i/>
        </w:rPr>
        <w:t>, et al.</w:t>
      </w:r>
      <w:r w:rsidRPr="0095528B">
        <w:t xml:space="preserve"> A preliminary study of the whole-genome expression profile of sporadic and </w:t>
      </w:r>
      <w:r w:rsidRPr="0095528B">
        <w:lastRenderedPageBreak/>
        <w:t xml:space="preserve">monogenic early-onset Alzheimer's disease. </w:t>
      </w:r>
      <w:r w:rsidRPr="0095528B">
        <w:rPr>
          <w:i/>
        </w:rPr>
        <w:t>Neurobiol Aging</w:t>
      </w:r>
      <w:r w:rsidRPr="0095528B">
        <w:t xml:space="preserve"> </w:t>
      </w:r>
      <w:r w:rsidRPr="0095528B">
        <w:rPr>
          <w:b/>
        </w:rPr>
        <w:t>34</w:t>
      </w:r>
      <w:r w:rsidRPr="0095528B">
        <w:t>, 1772-1778 (2013).</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16.</w:t>
      </w:r>
      <w:r w:rsidRPr="0095528B">
        <w:tab/>
        <w:t>Irizarry RA</w:t>
      </w:r>
      <w:r w:rsidRPr="0095528B">
        <w:rPr>
          <w:i/>
        </w:rPr>
        <w:t>, et al.</w:t>
      </w:r>
      <w:r w:rsidRPr="0095528B">
        <w:t xml:space="preserve"> Exploration, normalization, and summaries of high density oligonucleotide array probe level data. </w:t>
      </w:r>
      <w:r w:rsidRPr="0095528B">
        <w:rPr>
          <w:i/>
        </w:rPr>
        <w:t>Biostatistics</w:t>
      </w:r>
      <w:r w:rsidRPr="0095528B">
        <w:t xml:space="preserve"> </w:t>
      </w:r>
      <w:r w:rsidRPr="0095528B">
        <w:rPr>
          <w:b/>
        </w:rPr>
        <w:t>4</w:t>
      </w:r>
      <w:r w:rsidRPr="0095528B">
        <w:t>, 249-264 (2003).</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17.</w:t>
      </w:r>
      <w:r w:rsidRPr="0095528B">
        <w:tab/>
        <w:t xml:space="preserve">Leek JT., Johnson WE., Parker HS., Jaffe AE &amp; Storey JD. The sva package for removing batch effects and other unwanted variation in high-throughput experiments. </w:t>
      </w:r>
      <w:r w:rsidRPr="0095528B">
        <w:rPr>
          <w:i/>
        </w:rPr>
        <w:t>Bioinformatics</w:t>
      </w:r>
      <w:r w:rsidRPr="0095528B">
        <w:t xml:space="preserve"> </w:t>
      </w:r>
      <w:r w:rsidRPr="0095528B">
        <w:rPr>
          <w:b/>
        </w:rPr>
        <w:t>28</w:t>
      </w:r>
      <w:r w:rsidRPr="0095528B">
        <w:t>, 882-883 (2012).</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18.</w:t>
      </w:r>
      <w:r w:rsidRPr="0095528B">
        <w:tab/>
        <w:t xml:space="preserve">Tusher VG., Tibshirani R &amp; Chu G. Significance analysis of microarrays applied to the ionizing radiation response. </w:t>
      </w:r>
      <w:r w:rsidRPr="0095528B">
        <w:rPr>
          <w:i/>
        </w:rPr>
        <w:t>Proc Natl Acad Sci U S A</w:t>
      </w:r>
      <w:r w:rsidRPr="0095528B">
        <w:t xml:space="preserve"> </w:t>
      </w:r>
      <w:r w:rsidRPr="0095528B">
        <w:rPr>
          <w:b/>
        </w:rPr>
        <w:t>98</w:t>
      </w:r>
      <w:r w:rsidRPr="0095528B">
        <w:t>, 5116-5121 (2001).</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19.</w:t>
      </w:r>
      <w:r w:rsidRPr="0095528B">
        <w:tab/>
        <w:t xml:space="preserve">Smyth G. Linear models and empirical bayes methods for assessing differential expression in microarray experiments. </w:t>
      </w:r>
      <w:r w:rsidRPr="0095528B">
        <w:rPr>
          <w:i/>
        </w:rPr>
        <w:t>Stat Appl Genet Mol Biol</w:t>
      </w:r>
      <w:r w:rsidRPr="0095528B">
        <w:t xml:space="preserve"> </w:t>
      </w:r>
      <w:r w:rsidRPr="0095528B">
        <w:rPr>
          <w:b/>
        </w:rPr>
        <w:t>3</w:t>
      </w:r>
      <w:r w:rsidRPr="0095528B">
        <w:t>, Article 3 (2004).</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20.</w:t>
      </w:r>
      <w:r w:rsidRPr="0095528B">
        <w:tab/>
        <w:t xml:space="preserve">Kingma DP &amp; Welling M. Auto-encoding variational bayes. </w:t>
      </w:r>
      <w:r w:rsidRPr="0095528B">
        <w:rPr>
          <w:i/>
        </w:rPr>
        <w:t>arXiv preprint arXiv:13126114</w:t>
      </w:r>
      <w:r w:rsidRPr="0095528B">
        <w:t>,  (2013).</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21.</w:t>
      </w:r>
      <w:r w:rsidRPr="0095528B">
        <w:tab/>
        <w:t xml:space="preserve">Clevert D-A., Unterthiner T &amp; Hochreiter S. Fast and accurate deep network learning by exponential linear units (elus). </w:t>
      </w:r>
      <w:r w:rsidRPr="0095528B">
        <w:rPr>
          <w:i/>
        </w:rPr>
        <w:t>arXiv preprint arXiv:151107289</w:t>
      </w:r>
      <w:r w:rsidRPr="0095528B">
        <w:t>,  (2015).</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22.</w:t>
      </w:r>
      <w:r w:rsidRPr="0095528B">
        <w:tab/>
        <w:t xml:space="preserve">Nair V &amp; Hinton GE. Rectified linear units improve restricted boltzmann machines. In: </w:t>
      </w:r>
      <w:r w:rsidRPr="0095528B">
        <w:rPr>
          <w:i/>
        </w:rPr>
        <w:t>Proceedings of the 27th international conference on machine learning (ICML-10)</w:t>
      </w:r>
      <w:r w:rsidRPr="0095528B">
        <w:t xml:space="preserve"> (ed^(eds) (2010).</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23.</w:t>
      </w:r>
      <w:r w:rsidRPr="0095528B">
        <w:tab/>
        <w:t xml:space="preserve">Karlik B &amp; Olgac AV. Performance analysis of various activation functions in generalized MLP architectures of neural networks. </w:t>
      </w:r>
      <w:r w:rsidRPr="0095528B">
        <w:rPr>
          <w:i/>
        </w:rPr>
        <w:t>International Journal of Artificial Intelligence and Expert Systems (IJAE)</w:t>
      </w:r>
      <w:r w:rsidRPr="0095528B">
        <w:t xml:space="preserve"> </w:t>
      </w:r>
      <w:r w:rsidRPr="0095528B">
        <w:rPr>
          <w:b/>
        </w:rPr>
        <w:t>1</w:t>
      </w:r>
      <w:r w:rsidRPr="0095528B">
        <w:t>, 111-122 (2011).</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24.</w:t>
      </w:r>
      <w:r w:rsidRPr="0095528B">
        <w:tab/>
        <w:t xml:space="preserve">Duchi J., Hazan E &amp; Singer Y. Adaptive subgradient methods for online learning and stochastic optimization. </w:t>
      </w:r>
      <w:r w:rsidRPr="0095528B">
        <w:rPr>
          <w:i/>
        </w:rPr>
        <w:t>J Mach Learn Res</w:t>
      </w:r>
      <w:r w:rsidRPr="0095528B">
        <w:t xml:space="preserve"> </w:t>
      </w:r>
      <w:r w:rsidRPr="0095528B">
        <w:rPr>
          <w:b/>
        </w:rPr>
        <w:t>12</w:t>
      </w:r>
      <w:r w:rsidRPr="0095528B">
        <w:t>, 2121-2159 (2011).</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25.</w:t>
      </w:r>
      <w:r w:rsidRPr="0095528B">
        <w:tab/>
        <w:t xml:space="preserve">Niculescu AB &amp; Le-Niculescu H. Convergent Functional Genomics: what we have learned and can learn about genes, pathways, and mechanisms. </w:t>
      </w:r>
      <w:r w:rsidRPr="0095528B">
        <w:rPr>
          <w:i/>
        </w:rPr>
        <w:t>Neuropsychopharmacology</w:t>
      </w:r>
      <w:r w:rsidRPr="0095528B">
        <w:t xml:space="preserve"> </w:t>
      </w:r>
      <w:r w:rsidRPr="0095528B">
        <w:rPr>
          <w:b/>
        </w:rPr>
        <w:t>35</w:t>
      </w:r>
      <w:r w:rsidRPr="0095528B">
        <w:t>, 355 (2010).</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26.</w:t>
      </w:r>
      <w:r w:rsidRPr="0095528B">
        <w:tab/>
        <w:t>NICULESCU III AB</w:t>
      </w:r>
      <w:r w:rsidRPr="0095528B">
        <w:rPr>
          <w:i/>
        </w:rPr>
        <w:t>, et al.</w:t>
      </w:r>
      <w:r w:rsidRPr="0095528B">
        <w:t xml:space="preserve"> Identifying a series of candidate genes for mania and psychosis: a convergent functional genomics approach. </w:t>
      </w:r>
      <w:r w:rsidRPr="0095528B">
        <w:rPr>
          <w:i/>
        </w:rPr>
        <w:t>Physiol Genomics</w:t>
      </w:r>
      <w:r w:rsidRPr="0095528B">
        <w:t xml:space="preserve"> </w:t>
      </w:r>
      <w:r w:rsidRPr="0095528B">
        <w:rPr>
          <w:b/>
        </w:rPr>
        <w:t>4</w:t>
      </w:r>
      <w:r w:rsidRPr="0095528B">
        <w:t>, 83-91 (2000).</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27.</w:t>
      </w:r>
      <w:r w:rsidRPr="0095528B">
        <w:tab/>
        <w:t>Xu M</w:t>
      </w:r>
      <w:r w:rsidRPr="0095528B">
        <w:rPr>
          <w:i/>
        </w:rPr>
        <w:t>, et al.</w:t>
      </w:r>
      <w:r w:rsidRPr="0095528B">
        <w:t xml:space="preserve"> A systematic integrated analysis of brain expression profiles reveals YAP1 and other prioritized hub genes as important upstream regulators in Alzheimer's disease. </w:t>
      </w:r>
      <w:r w:rsidRPr="0095528B">
        <w:rPr>
          <w:i/>
        </w:rPr>
        <w:t xml:space="preserve">Alzheimers Dement </w:t>
      </w:r>
      <w:r w:rsidRPr="0095528B">
        <w:rPr>
          <w:b/>
        </w:rPr>
        <w:t>14</w:t>
      </w:r>
      <w:r w:rsidRPr="0095528B">
        <w:t>, 215-229 (2018).</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28.</w:t>
      </w:r>
      <w:r w:rsidRPr="0095528B">
        <w:tab/>
        <w:t>Breen MS</w:t>
      </w:r>
      <w:r w:rsidRPr="0095528B">
        <w:rPr>
          <w:i/>
        </w:rPr>
        <w:t>, et al.</w:t>
      </w:r>
      <w:r w:rsidRPr="0095528B">
        <w:t xml:space="preserve"> Candidate gene networks and blood biomarkers of methamphetamine-associated psychosis: an integrative RNA-sequencing report. </w:t>
      </w:r>
      <w:r w:rsidRPr="0095528B">
        <w:rPr>
          <w:i/>
        </w:rPr>
        <w:t>Transl Psychiatry</w:t>
      </w:r>
      <w:r w:rsidRPr="0095528B">
        <w:t xml:space="preserve"> </w:t>
      </w:r>
      <w:r w:rsidRPr="0095528B">
        <w:rPr>
          <w:b/>
        </w:rPr>
        <w:t>6</w:t>
      </w:r>
      <w:r w:rsidRPr="0095528B">
        <w:t>, e802 (2016).</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lastRenderedPageBreak/>
        <w:t>29.</w:t>
      </w:r>
      <w:r w:rsidRPr="0095528B">
        <w:tab/>
        <w:t>Lambert J-C</w:t>
      </w:r>
      <w:r w:rsidRPr="0095528B">
        <w:rPr>
          <w:i/>
        </w:rPr>
        <w:t>, et al.</w:t>
      </w:r>
      <w:r w:rsidRPr="0095528B">
        <w:t xml:space="preserve"> Meta-analysis of 74,046 individuals identifies 11 new susceptibility loci for Alzheimer's disease. </w:t>
      </w:r>
      <w:r w:rsidRPr="0095528B">
        <w:rPr>
          <w:i/>
        </w:rPr>
        <w:t>Nat Genet</w:t>
      </w:r>
      <w:r w:rsidRPr="0095528B">
        <w:t xml:space="preserve"> </w:t>
      </w:r>
      <w:r w:rsidRPr="0095528B">
        <w:rPr>
          <w:b/>
        </w:rPr>
        <w:t>45</w:t>
      </w:r>
      <w:r w:rsidRPr="0095528B">
        <w:t>, 1452 (2013).</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30.</w:t>
      </w:r>
      <w:r w:rsidRPr="0095528B">
        <w:tab/>
        <w:t>Colantuoni C</w:t>
      </w:r>
      <w:r w:rsidRPr="0095528B">
        <w:rPr>
          <w:i/>
        </w:rPr>
        <w:t>, et al.</w:t>
      </w:r>
      <w:r w:rsidRPr="0095528B">
        <w:t xml:space="preserve"> Temporal dynamics and genetic control of transcription in the human prefrontal cortex. </w:t>
      </w:r>
      <w:r w:rsidRPr="0095528B">
        <w:rPr>
          <w:i/>
        </w:rPr>
        <w:t>Nature</w:t>
      </w:r>
      <w:r w:rsidRPr="0095528B">
        <w:t xml:space="preserve"> </w:t>
      </w:r>
      <w:r w:rsidRPr="0095528B">
        <w:rPr>
          <w:b/>
        </w:rPr>
        <w:t>478</w:t>
      </w:r>
      <w:r w:rsidRPr="0095528B">
        <w:t>, 519 (2011).</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31.</w:t>
      </w:r>
      <w:r w:rsidRPr="0095528B">
        <w:tab/>
        <w:t>Matarin M</w:t>
      </w:r>
      <w:r w:rsidRPr="0095528B">
        <w:rPr>
          <w:i/>
        </w:rPr>
        <w:t>, et al.</w:t>
      </w:r>
      <w:r w:rsidRPr="0095528B">
        <w:t xml:space="preserve"> A genome-wide gene-expression analysis and database in transgenic mice during development of amyloid or tau pathology. </w:t>
      </w:r>
      <w:r w:rsidRPr="0095528B">
        <w:rPr>
          <w:i/>
        </w:rPr>
        <w:t>Cell Rep</w:t>
      </w:r>
      <w:r w:rsidRPr="0095528B">
        <w:t xml:space="preserve"> </w:t>
      </w:r>
      <w:r w:rsidRPr="0095528B">
        <w:rPr>
          <w:b/>
        </w:rPr>
        <w:t>10</w:t>
      </w:r>
      <w:r w:rsidRPr="0095528B">
        <w:t>, 633-644 (2015).</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32.</w:t>
      </w:r>
      <w:r w:rsidRPr="0095528B">
        <w:tab/>
        <w:t xml:space="preserve">Bertram L., McQueen MB., Mullin K., Blacker D &amp; Tanzi RE. Systematic meta-analyses of Alzheimer disease genetic association studies: the AlzGene database. </w:t>
      </w:r>
      <w:r w:rsidRPr="0095528B">
        <w:rPr>
          <w:i/>
        </w:rPr>
        <w:t>Nat Genet</w:t>
      </w:r>
      <w:r w:rsidRPr="0095528B">
        <w:t xml:space="preserve"> </w:t>
      </w:r>
      <w:r w:rsidRPr="0095528B">
        <w:rPr>
          <w:b/>
        </w:rPr>
        <w:t>39</w:t>
      </w:r>
      <w:r w:rsidRPr="0095528B">
        <w:t>, 17-23 (2007).</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33.</w:t>
      </w:r>
      <w:r w:rsidRPr="0095528B">
        <w:tab/>
        <w:t xml:space="preserve">Kim J., Kim JJ &amp; Lee H. An analysis of disease-gene relationship from Medline abstracts by DigSee. </w:t>
      </w:r>
      <w:r w:rsidRPr="0095528B">
        <w:rPr>
          <w:i/>
        </w:rPr>
        <w:t>Sci Rep</w:t>
      </w:r>
      <w:r w:rsidRPr="0095528B">
        <w:t xml:space="preserve"> </w:t>
      </w:r>
      <w:r w:rsidRPr="0095528B">
        <w:rPr>
          <w:b/>
        </w:rPr>
        <w:t>7</w:t>
      </w:r>
      <w:r w:rsidRPr="0095528B">
        <w:t>, 40154 (2017).</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34.</w:t>
      </w:r>
      <w:r w:rsidRPr="0095528B">
        <w:tab/>
        <w:t>Sharifi S</w:t>
      </w:r>
      <w:r w:rsidRPr="0095528B">
        <w:rPr>
          <w:i/>
        </w:rPr>
        <w:t>, et al.</w:t>
      </w:r>
      <w:r w:rsidRPr="0095528B">
        <w:t xml:space="preserve"> Integration of machine learning and meta-analysis identifies the transcriptomic bio-signature of mastitis disease in cattle. </w:t>
      </w:r>
      <w:r w:rsidRPr="0095528B">
        <w:rPr>
          <w:i/>
        </w:rPr>
        <w:t>PLoS One</w:t>
      </w:r>
      <w:r w:rsidRPr="0095528B">
        <w:t xml:space="preserve"> </w:t>
      </w:r>
      <w:r w:rsidRPr="0095528B">
        <w:rPr>
          <w:b/>
        </w:rPr>
        <w:t>13</w:t>
      </w:r>
      <w:r w:rsidRPr="0095528B">
        <w:t>, e0191227 (2018).</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35.</w:t>
      </w:r>
      <w:r w:rsidRPr="0095528B">
        <w:tab/>
        <w:t xml:space="preserve">Farhadian M., Rafat SA., Hasanpur K., Ebrahimi M &amp; Ebrahimie E. Cross-Species Meta-Analysis of Transcriptomic Data in Combination With Supervised Machine Learning Models Identifies the Common Gene Signature of Lactation Process. </w:t>
      </w:r>
      <w:r w:rsidRPr="0095528B">
        <w:rPr>
          <w:i/>
        </w:rPr>
        <w:t>Frontiers in genetics</w:t>
      </w:r>
      <w:r w:rsidRPr="0095528B">
        <w:t xml:space="preserve"> </w:t>
      </w:r>
      <w:r w:rsidRPr="0095528B">
        <w:rPr>
          <w:b/>
        </w:rPr>
        <w:t>9</w:t>
      </w:r>
      <w:r w:rsidRPr="0095528B">
        <w:t>, 235 (2018).</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36.</w:t>
      </w:r>
      <w:r w:rsidRPr="0095528B">
        <w:tab/>
        <w:t>Wang X., Li J., Tseng GC &amp; Wang MX. Package ‘MetaDE’.  (2012).</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37.</w:t>
      </w:r>
      <w:r w:rsidRPr="0095528B">
        <w:tab/>
        <w:t>Mohammadi-Dehcheshmeh M</w:t>
      </w:r>
      <w:r w:rsidRPr="0095528B">
        <w:rPr>
          <w:i/>
        </w:rPr>
        <w:t>, et al.</w:t>
      </w:r>
      <w:r w:rsidRPr="0095528B">
        <w:t xml:space="preserve"> Unified Transcriptomic Signature of Arbuscular Mycorrhiza Colonization in Roots of Medicago truncatula by Integration of Machine Learning, Promoter Analysis, and Direct Merging Meta-Analysis. </w:t>
      </w:r>
      <w:r w:rsidRPr="0095528B">
        <w:rPr>
          <w:i/>
        </w:rPr>
        <w:t>Frontiers in plant science</w:t>
      </w:r>
      <w:r w:rsidRPr="0095528B">
        <w:t xml:space="preserve"> </w:t>
      </w:r>
      <w:r w:rsidRPr="0095528B">
        <w:rPr>
          <w:b/>
        </w:rPr>
        <w:t>9</w:t>
      </w:r>
      <w:r w:rsidRPr="0095528B">
        <w:t>, 1550 (2018).</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38.</w:t>
      </w:r>
      <w:r w:rsidRPr="0095528B">
        <w:tab/>
        <w:t xml:space="preserve">Venkatraman ES &amp; Begg CB. A distribution-free procedure for comparing receiver operating characteristic curves from a paired experiment. </w:t>
      </w:r>
      <w:r w:rsidRPr="0095528B">
        <w:rPr>
          <w:i/>
        </w:rPr>
        <w:t>Biometrika</w:t>
      </w:r>
      <w:r w:rsidRPr="0095528B">
        <w:t xml:space="preserve"> </w:t>
      </w:r>
      <w:r w:rsidRPr="0095528B">
        <w:rPr>
          <w:b/>
        </w:rPr>
        <w:t>83</w:t>
      </w:r>
      <w:r w:rsidRPr="0095528B">
        <w:t>, 835-848 (1996).</w:t>
      </w:r>
    </w:p>
    <w:p w:rsidR="00373F44" w:rsidRPr="0095528B" w:rsidRDefault="00373F44" w:rsidP="0095528B">
      <w:pPr>
        <w:pStyle w:val="EndNoteBibliography"/>
        <w:spacing w:after="0"/>
      </w:pPr>
    </w:p>
    <w:p w:rsidR="00373F44" w:rsidRPr="0095528B" w:rsidRDefault="00373F44" w:rsidP="0095528B">
      <w:pPr>
        <w:pStyle w:val="EndNoteBibliography"/>
        <w:ind w:left="720" w:hanging="720"/>
      </w:pPr>
      <w:r w:rsidRPr="0095528B">
        <w:t>39.</w:t>
      </w:r>
      <w:r w:rsidRPr="0095528B">
        <w:tab/>
        <w:t>Gandal MJ</w:t>
      </w:r>
      <w:r w:rsidRPr="0095528B">
        <w:rPr>
          <w:i/>
        </w:rPr>
        <w:t>, et al.</w:t>
      </w:r>
      <w:r w:rsidRPr="0095528B">
        <w:t xml:space="preserve"> Shared molecular neuropathology across major psychiatric disorders parallels polygenic overlap. </w:t>
      </w:r>
      <w:r w:rsidRPr="0095528B">
        <w:rPr>
          <w:i/>
        </w:rPr>
        <w:t>Science</w:t>
      </w:r>
      <w:r w:rsidRPr="0095528B">
        <w:t xml:space="preserve"> </w:t>
      </w:r>
      <w:r w:rsidRPr="0095528B">
        <w:rPr>
          <w:b/>
        </w:rPr>
        <w:t>359</w:t>
      </w:r>
      <w:r w:rsidRPr="0095528B">
        <w:t>, 693-697 (2018).</w:t>
      </w:r>
    </w:p>
    <w:p w:rsidR="00373F44" w:rsidRPr="0095528B" w:rsidRDefault="00373F44" w:rsidP="0095528B">
      <w:pPr>
        <w:pStyle w:val="EndNoteBibliography"/>
      </w:pPr>
    </w:p>
    <w:p w:rsidR="00373F44" w:rsidRPr="006527D3" w:rsidRDefault="00373F44" w:rsidP="00A97DD1">
      <w:pPr>
        <w:pStyle w:val="a3"/>
        <w:spacing w:line="480" w:lineRule="auto"/>
        <w:rPr>
          <w:rFonts w:ascii="Times New Roman" w:hAnsi="Times New Roman" w:cs="Times New Roman"/>
          <w:sz w:val="22"/>
        </w:rPr>
      </w:pPr>
    </w:p>
    <w:p w:rsidR="003342DA" w:rsidRDefault="003342DA"/>
    <w:sectPr w:rsidR="003342DA" w:rsidSect="00AC6A89">
      <w:pgSz w:w="11906" w:h="16838"/>
      <w:pgMar w:top="1701" w:right="1440" w:bottom="1440" w:left="1440" w:header="851" w:footer="17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9D0" w:rsidRDefault="003C79D0">
      <w:pPr>
        <w:spacing w:after="0" w:line="240" w:lineRule="auto"/>
      </w:pPr>
      <w:r>
        <w:separator/>
      </w:r>
    </w:p>
  </w:endnote>
  <w:endnote w:type="continuationSeparator" w:id="0">
    <w:p w:rsidR="003C79D0" w:rsidRDefault="003C7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1016169"/>
      <w:docPartObj>
        <w:docPartGallery w:val="Page Numbers (Bottom of Page)"/>
        <w:docPartUnique/>
      </w:docPartObj>
    </w:sdtPr>
    <w:sdtEndPr/>
    <w:sdtContent>
      <w:p w:rsidR="00DA1CE2" w:rsidRDefault="00DA1CE2">
        <w:pPr>
          <w:pStyle w:val="a7"/>
          <w:jc w:val="center"/>
        </w:pPr>
        <w:r>
          <w:fldChar w:fldCharType="begin"/>
        </w:r>
        <w:r>
          <w:instrText>PAGE   \* MERGEFORMAT</w:instrText>
        </w:r>
        <w:r>
          <w:fldChar w:fldCharType="separate"/>
        </w:r>
        <w:r w:rsidR="00B43A80" w:rsidRPr="00B43A80">
          <w:rPr>
            <w:noProof/>
            <w:lang w:val="ko-KR"/>
          </w:rPr>
          <w:t>16</w:t>
        </w:r>
        <w:r>
          <w:fldChar w:fldCharType="end"/>
        </w:r>
      </w:p>
    </w:sdtContent>
  </w:sdt>
  <w:p w:rsidR="00955E4A" w:rsidRDefault="003C79D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9D0" w:rsidRDefault="003C79D0">
      <w:pPr>
        <w:spacing w:after="0" w:line="240" w:lineRule="auto"/>
      </w:pPr>
      <w:r>
        <w:separator/>
      </w:r>
    </w:p>
  </w:footnote>
  <w:footnote w:type="continuationSeparator" w:id="0">
    <w:p w:rsidR="003C79D0" w:rsidRDefault="003C7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C6C79"/>
    <w:multiLevelType w:val="hybridMultilevel"/>
    <w:tmpl w:val="12DE294C"/>
    <w:lvl w:ilvl="0" w:tplc="CD3E3ED0">
      <w:start w:val="1"/>
      <w:numFmt w:val="decimal"/>
      <w:lvlText w:val="%1."/>
      <w:lvlJc w:val="left"/>
      <w:pPr>
        <w:ind w:left="644" w:hanging="360"/>
      </w:pPr>
      <w:rPr>
        <w:rFonts w:hint="default"/>
      </w:rPr>
    </w:lvl>
    <w:lvl w:ilvl="1" w:tplc="04090019">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 w15:restartNumberingAfterBreak="0">
    <w:nsid w:val="1825014B"/>
    <w:multiLevelType w:val="hybridMultilevel"/>
    <w:tmpl w:val="9B64BAC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CA40101"/>
    <w:multiLevelType w:val="hybridMultilevel"/>
    <w:tmpl w:val="0DDC1048"/>
    <w:lvl w:ilvl="0" w:tplc="066847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D85388A"/>
    <w:multiLevelType w:val="hybridMultilevel"/>
    <w:tmpl w:val="0DDC1048"/>
    <w:lvl w:ilvl="0" w:tplc="066847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3AD4E1B"/>
    <w:multiLevelType w:val="hybridMultilevel"/>
    <w:tmpl w:val="3F40FBB2"/>
    <w:lvl w:ilvl="0" w:tplc="DD688C56">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373F44"/>
    <w:rsid w:val="00005E18"/>
    <w:rsid w:val="00025802"/>
    <w:rsid w:val="0003131A"/>
    <w:rsid w:val="0004604F"/>
    <w:rsid w:val="00067C6B"/>
    <w:rsid w:val="000B6375"/>
    <w:rsid w:val="000E6CC4"/>
    <w:rsid w:val="001301C6"/>
    <w:rsid w:val="00130208"/>
    <w:rsid w:val="00150F27"/>
    <w:rsid w:val="00187DD1"/>
    <w:rsid w:val="0019755A"/>
    <w:rsid w:val="001A141E"/>
    <w:rsid w:val="00246BEF"/>
    <w:rsid w:val="0027116F"/>
    <w:rsid w:val="002745D6"/>
    <w:rsid w:val="002A5076"/>
    <w:rsid w:val="002B70FF"/>
    <w:rsid w:val="002D2E25"/>
    <w:rsid w:val="003342DA"/>
    <w:rsid w:val="00373F44"/>
    <w:rsid w:val="003B41EC"/>
    <w:rsid w:val="003C79D0"/>
    <w:rsid w:val="003D0B96"/>
    <w:rsid w:val="003D187B"/>
    <w:rsid w:val="00474E67"/>
    <w:rsid w:val="004816F0"/>
    <w:rsid w:val="00496DDE"/>
    <w:rsid w:val="004D1CD7"/>
    <w:rsid w:val="004E2685"/>
    <w:rsid w:val="004F72A1"/>
    <w:rsid w:val="00595150"/>
    <w:rsid w:val="005A0066"/>
    <w:rsid w:val="00615944"/>
    <w:rsid w:val="00634579"/>
    <w:rsid w:val="00684C76"/>
    <w:rsid w:val="006C7A9D"/>
    <w:rsid w:val="006E51E1"/>
    <w:rsid w:val="007155B7"/>
    <w:rsid w:val="00796F1A"/>
    <w:rsid w:val="007E2ABF"/>
    <w:rsid w:val="00801A76"/>
    <w:rsid w:val="0080734B"/>
    <w:rsid w:val="008555FF"/>
    <w:rsid w:val="008C64AE"/>
    <w:rsid w:val="008D4808"/>
    <w:rsid w:val="00901223"/>
    <w:rsid w:val="00940449"/>
    <w:rsid w:val="009A17BA"/>
    <w:rsid w:val="009E16DA"/>
    <w:rsid w:val="00A17FA5"/>
    <w:rsid w:val="00A274CE"/>
    <w:rsid w:val="00A33051"/>
    <w:rsid w:val="00A85B54"/>
    <w:rsid w:val="00AC5E5A"/>
    <w:rsid w:val="00AC6A89"/>
    <w:rsid w:val="00B43A80"/>
    <w:rsid w:val="00B606AE"/>
    <w:rsid w:val="00BD0396"/>
    <w:rsid w:val="00BF1A6C"/>
    <w:rsid w:val="00C67EE8"/>
    <w:rsid w:val="00CA09D7"/>
    <w:rsid w:val="00CA5B59"/>
    <w:rsid w:val="00CB374E"/>
    <w:rsid w:val="00CB5107"/>
    <w:rsid w:val="00CF19D8"/>
    <w:rsid w:val="00CF1EC9"/>
    <w:rsid w:val="00D7196F"/>
    <w:rsid w:val="00D853CC"/>
    <w:rsid w:val="00DA1CE2"/>
    <w:rsid w:val="00E255A8"/>
    <w:rsid w:val="00E40E7F"/>
    <w:rsid w:val="00E44926"/>
    <w:rsid w:val="00E92C4A"/>
    <w:rsid w:val="00EC50E6"/>
    <w:rsid w:val="00F53802"/>
    <w:rsid w:val="00F60D68"/>
    <w:rsid w:val="00FA7CB3"/>
    <w:rsid w:val="00FC2E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F4764"/>
  <w15:chartTrackingRefBased/>
  <w15:docId w15:val="{2369484A-EE6D-4881-B0E0-F2210A3A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3F4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73F44"/>
    <w:pPr>
      <w:widowControl w:val="0"/>
      <w:wordWrap w:val="0"/>
      <w:autoSpaceDE w:val="0"/>
      <w:autoSpaceDN w:val="0"/>
      <w:spacing w:after="0" w:line="240" w:lineRule="auto"/>
    </w:pPr>
  </w:style>
  <w:style w:type="character" w:styleId="a4">
    <w:name w:val="Hyperlink"/>
    <w:basedOn w:val="a0"/>
    <w:uiPriority w:val="99"/>
    <w:unhideWhenUsed/>
    <w:rsid w:val="00373F44"/>
    <w:rPr>
      <w:color w:val="0000FF"/>
      <w:u w:val="single"/>
    </w:rPr>
  </w:style>
  <w:style w:type="character" w:styleId="a5">
    <w:name w:val="Placeholder Text"/>
    <w:basedOn w:val="a0"/>
    <w:uiPriority w:val="99"/>
    <w:semiHidden/>
    <w:rsid w:val="00373F44"/>
    <w:rPr>
      <w:color w:val="808080"/>
    </w:rPr>
  </w:style>
  <w:style w:type="paragraph" w:customStyle="1" w:styleId="EndNoteBibliographyTitle">
    <w:name w:val="EndNote Bibliography Title"/>
    <w:basedOn w:val="a"/>
    <w:link w:val="EndNoteBibliographyTitleChar"/>
    <w:rsid w:val="00373F44"/>
    <w:pPr>
      <w:spacing w:after="0"/>
      <w:jc w:val="center"/>
    </w:pPr>
    <w:rPr>
      <w:rFonts w:ascii="Times New Roman" w:eastAsia="맑은 고딕" w:hAnsi="Times New Roman" w:cs="Times New Roman"/>
      <w:noProof/>
      <w:sz w:val="22"/>
    </w:rPr>
  </w:style>
  <w:style w:type="character" w:customStyle="1" w:styleId="Char">
    <w:name w:val="간격 없음 Char"/>
    <w:basedOn w:val="a0"/>
    <w:link w:val="a3"/>
    <w:uiPriority w:val="1"/>
    <w:rsid w:val="00373F44"/>
  </w:style>
  <w:style w:type="character" w:customStyle="1" w:styleId="EndNoteBibliographyTitleChar">
    <w:name w:val="EndNote Bibliography Title Char"/>
    <w:basedOn w:val="Char"/>
    <w:link w:val="EndNoteBibliographyTitle"/>
    <w:rsid w:val="00373F44"/>
    <w:rPr>
      <w:rFonts w:ascii="Times New Roman" w:eastAsia="맑은 고딕" w:hAnsi="Times New Roman" w:cs="Times New Roman"/>
      <w:noProof/>
      <w:sz w:val="22"/>
    </w:rPr>
  </w:style>
  <w:style w:type="paragraph" w:customStyle="1" w:styleId="EndNoteBibliography">
    <w:name w:val="EndNote Bibliography"/>
    <w:basedOn w:val="a"/>
    <w:link w:val="EndNoteBibliographyChar"/>
    <w:rsid w:val="00373F44"/>
    <w:pPr>
      <w:spacing w:line="240" w:lineRule="auto"/>
    </w:pPr>
    <w:rPr>
      <w:rFonts w:ascii="Times New Roman" w:eastAsia="맑은 고딕" w:hAnsi="Times New Roman" w:cs="Times New Roman"/>
      <w:noProof/>
      <w:sz w:val="22"/>
    </w:rPr>
  </w:style>
  <w:style w:type="character" w:customStyle="1" w:styleId="EndNoteBibliographyChar">
    <w:name w:val="EndNote Bibliography Char"/>
    <w:basedOn w:val="Char"/>
    <w:link w:val="EndNoteBibliography"/>
    <w:rsid w:val="00373F44"/>
    <w:rPr>
      <w:rFonts w:ascii="Times New Roman" w:eastAsia="맑은 고딕" w:hAnsi="Times New Roman" w:cs="Times New Roman"/>
      <w:noProof/>
      <w:sz w:val="22"/>
    </w:rPr>
  </w:style>
  <w:style w:type="paragraph" w:styleId="a6">
    <w:name w:val="header"/>
    <w:basedOn w:val="a"/>
    <w:link w:val="Char0"/>
    <w:uiPriority w:val="99"/>
    <w:unhideWhenUsed/>
    <w:rsid w:val="00373F44"/>
    <w:pPr>
      <w:tabs>
        <w:tab w:val="center" w:pos="4513"/>
        <w:tab w:val="right" w:pos="9026"/>
      </w:tabs>
      <w:snapToGrid w:val="0"/>
    </w:pPr>
  </w:style>
  <w:style w:type="character" w:customStyle="1" w:styleId="Char0">
    <w:name w:val="머리글 Char"/>
    <w:basedOn w:val="a0"/>
    <w:link w:val="a6"/>
    <w:uiPriority w:val="99"/>
    <w:rsid w:val="00373F44"/>
  </w:style>
  <w:style w:type="paragraph" w:styleId="a7">
    <w:name w:val="footer"/>
    <w:basedOn w:val="a"/>
    <w:link w:val="Char1"/>
    <w:uiPriority w:val="99"/>
    <w:unhideWhenUsed/>
    <w:rsid w:val="00373F44"/>
    <w:pPr>
      <w:tabs>
        <w:tab w:val="center" w:pos="4513"/>
        <w:tab w:val="right" w:pos="9026"/>
      </w:tabs>
      <w:snapToGrid w:val="0"/>
    </w:pPr>
  </w:style>
  <w:style w:type="character" w:customStyle="1" w:styleId="Char1">
    <w:name w:val="바닥글 Char"/>
    <w:basedOn w:val="a0"/>
    <w:link w:val="a7"/>
    <w:uiPriority w:val="99"/>
    <w:rsid w:val="00373F44"/>
  </w:style>
  <w:style w:type="paragraph" w:styleId="a8">
    <w:name w:val="Balloon Text"/>
    <w:basedOn w:val="a"/>
    <w:link w:val="Char2"/>
    <w:uiPriority w:val="99"/>
    <w:semiHidden/>
    <w:unhideWhenUsed/>
    <w:rsid w:val="00373F44"/>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373F44"/>
    <w:rPr>
      <w:rFonts w:asciiTheme="majorHAnsi" w:eastAsiaTheme="majorEastAsia" w:hAnsiTheme="majorHAnsi" w:cstheme="majorBidi"/>
      <w:sz w:val="18"/>
      <w:szCs w:val="18"/>
    </w:rPr>
  </w:style>
  <w:style w:type="table" w:styleId="a9">
    <w:name w:val="Table Grid"/>
    <w:basedOn w:val="a1"/>
    <w:uiPriority w:val="39"/>
    <w:rsid w:val="00373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yunjulee@gist.ac.kr"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BCE89-F6A4-48C6-8F47-6AFFEE058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16</Pages>
  <Words>4240</Words>
  <Characters>24172</Characters>
  <Application>Microsoft Office Word</Application>
  <DocSecurity>0</DocSecurity>
  <Lines>201</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61</cp:revision>
  <dcterms:created xsi:type="dcterms:W3CDTF">2020-01-03T05:05:00Z</dcterms:created>
  <dcterms:modified xsi:type="dcterms:W3CDTF">2020-01-14T05:37:00Z</dcterms:modified>
</cp:coreProperties>
</file>