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426D18EF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8C5BA1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000013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4CA425A2" w:rsidR="00D31597" w:rsidRPr="00D31597" w:rsidRDefault="008C5BA1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02.06.2025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204760F7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8C5BA1">
        <w:rPr>
          <w:color w:val="00000A"/>
        </w:rPr>
        <w:t>Детский дом №12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8C5BA1">
        <w:rPr>
          <w:color w:val="00000A"/>
          <w:lang w:val="en-US"/>
        </w:rPr>
        <w:t>Толбоева Любовь Якововна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07E2364D" w:rsidR="00041EC0" w:rsidRPr="00041EC0" w:rsidRDefault="008C5BA1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№12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0674F379" w:rsidR="00041EC0" w:rsidRPr="003B5D86" w:rsidRDefault="008C5BA1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г. Печоры, Прибалтийское ш., 1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3FC998C1" w:rsidR="00B15A0F" w:rsidRPr="003B5D86" w:rsidRDefault="008C5BA1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lyubov63@yandex.ru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7EF40D1F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5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Толбоева. Л. Я.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13CFB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C5BA1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2025-06-02T17:01:00Z</dcterms:created>
  <dcterms:modified xsi:type="dcterms:W3CDTF">2025-06-02T17:01:00Z</dcterms:modified>
</cp:coreProperties>
</file>