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Bdr>
          <w:bottom w:val="nil"/>
        </w:pBdr>
      </w:pPr>
      <w:r>
        <w:t>Component C Simulation and Validation Final Review</w:t>
      </w:r>
    </w:p>
    <w:p>
      <w:pPr>
        <w:widowControl/>
      </w:pPr>
      <w:r>
        <w:rPr>
          <w:color w:val="5B6B76"/>
          <w:sz w:val="18"/>
        </w:rPr>
        <w:t>Ripple  •  Final draft for team review  •  Evidence cutoff 13 October 2026</w:t>
      </w:r>
    </w:p>
    <w:p>
      <w:pPr>
        <w:pStyle w:val="Heading1"/>
      </w:pPr>
      <w:r>
        <w:t>Summary</w:t>
      </w:r>
    </w:p>
    <w:p>
      <w:pPr>
        <w:widowControl/>
      </w:pPr>
      <w:r>
        <w:t>Component C built a reproducible SUMO twin of the Aberdeen corridor, repaired its detector and demand pipeline, and independently checked the no-closure calibration. The strongest pre-incident result is 96.7% of 242 eligible five-minute count bins at GEH below 5. Its ordinary-morning speed error is 15.7% across 299 bins, just above the team's approximately 15% target, and speed signs supply much of that fit. This supports a limited count-propagation diagnostic, not an independently validated traffic-behaviour model.</w:t>
      </w:r>
    </w:p>
    <w:p>
      <w:pPr>
        <w:widowControl/>
      </w:pPr>
      <w:r>
        <w:t>For the 15 May Wong Chuk Hang Road incident, Data's corrected do-nothing replay reports 89.45% count GEH below 5 and 14.44% speed error over the whole run. All six reported seeds pass those headline targets. The closure itself misses the count target at 83.15%; ordinary-morning speed inputs miss at 16.94%; and tunnel-side flow, an unverified ramp entry, fitted driver exits, and wrong-lane teleports remain material. The joint no-go for public plan rankings and benefit claims continues under the proposed 16 October freeze. Actual AI-generated response candidates now support an observe, understand, propose and review demonstration.</w:t>
      </w:r>
    </w:p>
    <w:p>
      <w:pPr>
        <w:pStyle w:val="Heading1"/>
      </w:pPr>
      <w:r>
        <w:t>What the project can claim</w:t>
      </w:r>
    </w:p>
    <w:tbl>
      <w:tblPr>
        <w:tblStyle w:val="TableGrid"/>
        <w:tblW w:type="auto" w:w="0"/>
        <w:jc w:val="center"/>
        <w:tblLayout w:type="fixed"/>
        <w:tblLook w:firstColumn="1" w:firstRow="1" w:lastColumn="0" w:lastRow="0" w:noHBand="0" w:noVBand="1" w:val="04A0"/>
      </w:tblPr>
      <w:tblGrid>
        <w:gridCol w:w="3118"/>
        <w:gridCol w:w="3118"/>
        <w:gridCol w:w="3118"/>
      </w:tblGrid>
      <w:tr>
        <w:trPr>
          <w:tblHeader/>
        </w:trPr>
        <w:tc>
          <w:tcPr>
            <w:tcW w:type="dxa" w:w="2324"/>
            <w:vAlign w:val="center"/>
            <w:shd w:fill="DCE7F1"/>
          </w:tcPr>
          <w:p>
            <w:pPr>
              <w:spacing w:after="0" w:before="0"/>
            </w:pPr>
            <w:r>
              <w:rPr>
                <w:b/>
                <w:sz w:val="17"/>
              </w:rPr>
              <w:t>Claim</w:t>
            </w:r>
          </w:p>
        </w:tc>
        <w:tc>
          <w:tcPr>
            <w:tcW w:type="dxa" w:w="1871"/>
            <w:vAlign w:val="center"/>
            <w:shd w:fill="DCE7F1"/>
          </w:tcPr>
          <w:p>
            <w:pPr>
              <w:spacing w:after="0" w:before="0"/>
            </w:pPr>
            <w:r>
              <w:rPr>
                <w:b/>
                <w:sz w:val="17"/>
              </w:rPr>
              <w:t>Status at 13 October</w:t>
            </w:r>
          </w:p>
        </w:tc>
        <w:tc>
          <w:tcPr>
            <w:tcW w:type="dxa" w:w="5159"/>
            <w:vAlign w:val="center"/>
            <w:shd w:fill="DCE7F1"/>
          </w:tcPr>
          <w:p>
            <w:pPr>
              <w:spacing w:after="0" w:before="0"/>
            </w:pPr>
            <w:r>
              <w:rPr>
                <w:b/>
                <w:sz w:val="17"/>
              </w:rPr>
              <w:t>Basis</w:t>
            </w:r>
          </w:p>
        </w:tc>
      </w:tr>
      <w:tr>
        <w:tc>
          <w:tcPr>
            <w:tcW w:type="dxa" w:w="3118"/>
            <w:vAlign w:val="center"/>
          </w:tcPr>
          <w:p>
            <w:pPr>
              <w:spacing w:after="0" w:before="0"/>
            </w:pPr>
            <w:r>
              <w:rPr>
                <w:b w:val="0"/>
                <w:sz w:val="17"/>
              </w:rPr>
              <w:t>Observed incident and queue playback</w:t>
            </w:r>
          </w:p>
        </w:tc>
        <w:tc>
          <w:tcPr>
            <w:tcW w:type="dxa" w:w="3118"/>
            <w:vAlign w:val="center"/>
          </w:tcPr>
          <w:p>
            <w:pPr>
              <w:spacing w:after="0" w:before="0"/>
            </w:pPr>
            <w:r>
              <w:rPr>
                <w:b w:val="0"/>
                <w:sz w:val="17"/>
              </w:rPr>
              <w:t>Supported</w:t>
            </w:r>
          </w:p>
        </w:tc>
        <w:tc>
          <w:tcPr>
            <w:tcW w:type="dxa" w:w="3118"/>
            <w:vAlign w:val="center"/>
          </w:tcPr>
          <w:p>
            <w:pPr>
              <w:spacing w:after="0" w:before="0"/>
            </w:pPr>
            <w:r>
              <w:rPr>
                <w:b w:val="0"/>
                <w:sz w:val="17"/>
              </w:rPr>
              <w:t>TD messages and detector readings; keep archive gaps visible.</w:t>
            </w:r>
          </w:p>
        </w:tc>
      </w:tr>
      <w:tr>
        <w:tc>
          <w:tcPr>
            <w:tcW w:type="dxa" w:w="3118"/>
            <w:vAlign w:val="center"/>
            <w:shd w:fill="F4F7FA"/>
          </w:tcPr>
          <w:p>
            <w:pPr>
              <w:spacing w:after="0" w:before="0"/>
            </w:pPr>
            <w:r>
              <w:rPr>
                <w:b w:val="0"/>
                <w:sz w:val="17"/>
              </w:rPr>
              <w:t>No-closure SUMO count fit</w:t>
            </w:r>
          </w:p>
        </w:tc>
        <w:tc>
          <w:tcPr>
            <w:tcW w:type="dxa" w:w="3118"/>
            <w:vAlign w:val="center"/>
            <w:shd w:fill="F4F7FA"/>
          </w:tcPr>
          <w:p>
            <w:pPr>
              <w:spacing w:after="0" w:before="0"/>
            </w:pPr>
            <w:r>
              <w:rPr>
                <w:b w:val="0"/>
                <w:sz w:val="17"/>
              </w:rPr>
              <w:t>Limited diagnostic</w:t>
            </w:r>
          </w:p>
        </w:tc>
        <w:tc>
          <w:tcPr>
            <w:tcW w:type="dxa" w:w="3118"/>
            <w:vAlign w:val="center"/>
            <w:shd w:fill="F4F7FA"/>
          </w:tcPr>
          <w:p>
            <w:pPr>
              <w:spacing w:after="0" w:before="0"/>
            </w:pPr>
            <w:r>
              <w:rPr>
                <w:b w:val="0"/>
                <w:sz w:val="17"/>
              </w:rPr>
              <w:t>Independent 15 May replay: 96.7% of 242 eligible bins; ordinary speed error 15.7%.</w:t>
            </w:r>
          </w:p>
        </w:tc>
      </w:tr>
      <w:tr>
        <w:tc>
          <w:tcPr>
            <w:tcW w:type="dxa" w:w="3118"/>
            <w:vAlign w:val="center"/>
          </w:tcPr>
          <w:p>
            <w:pPr>
              <w:spacing w:after="0" w:before="0"/>
            </w:pPr>
            <w:r>
              <w:rPr>
                <w:b w:val="0"/>
                <w:sz w:val="17"/>
              </w:rPr>
              <w:t>Incident P0 realism</w:t>
            </w:r>
          </w:p>
        </w:tc>
        <w:tc>
          <w:tcPr>
            <w:tcW w:type="dxa" w:w="3118"/>
            <w:vAlign w:val="center"/>
          </w:tcPr>
          <w:p>
            <w:pPr>
              <w:spacing w:after="0" w:before="0"/>
            </w:pPr>
            <w:r>
              <w:rPr>
                <w:b w:val="0"/>
                <w:sz w:val="17"/>
              </w:rPr>
              <w:t>Not accepted</w:t>
            </w:r>
          </w:p>
        </w:tc>
        <w:tc>
          <w:tcPr>
            <w:tcW w:type="dxa" w:w="3118"/>
            <w:vAlign w:val="center"/>
          </w:tcPr>
          <w:p>
            <w:pPr>
              <w:spacing w:after="0" w:before="0"/>
            </w:pPr>
            <w:r>
              <w:rPr>
                <w:b w:val="0"/>
                <w:sz w:val="17"/>
              </w:rPr>
              <w:t>Closure-phase count score, tunnel flow, speeds and run behaviour remain unresolved.</w:t>
            </w:r>
          </w:p>
        </w:tc>
      </w:tr>
      <w:tr>
        <w:tc>
          <w:tcPr>
            <w:tcW w:type="dxa" w:w="3118"/>
            <w:vAlign w:val="center"/>
            <w:shd w:fill="F4F7FA"/>
          </w:tcPr>
          <w:p>
            <w:pPr>
              <w:spacing w:after="0" w:before="0"/>
            </w:pPr>
            <w:r>
              <w:rPr>
                <w:b w:val="0"/>
                <w:sz w:val="17"/>
              </w:rPr>
              <w:t>Recommended route or quantified P1/P2 savings</w:t>
            </w:r>
          </w:p>
        </w:tc>
        <w:tc>
          <w:tcPr>
            <w:tcW w:type="dxa" w:w="3118"/>
            <w:vAlign w:val="center"/>
            <w:shd w:fill="F4F7FA"/>
          </w:tcPr>
          <w:p>
            <w:pPr>
              <w:spacing w:after="0" w:before="0"/>
            </w:pPr>
            <w:r>
              <w:rPr>
                <w:b w:val="0"/>
                <w:sz w:val="17"/>
              </w:rPr>
              <w:t>Do not claim</w:t>
            </w:r>
          </w:p>
        </w:tc>
        <w:tc>
          <w:tcPr>
            <w:tcW w:type="dxa" w:w="3118"/>
            <w:vAlign w:val="center"/>
            <w:shd w:fill="F4F7FA"/>
          </w:tcPr>
          <w:p>
            <w:pPr>
              <w:spacing w:after="0" w:before="0"/>
            </w:pPr>
            <w:r>
              <w:rPr>
                <w:b w:val="0"/>
                <w:sz w:val="17"/>
              </w:rPr>
              <w:t>Actual AI candidates now exist; ramp representation and incident validity still prevent ranking.</w:t>
            </w:r>
          </w:p>
        </w:tc>
      </w:tr>
    </w:tbl>
    <w:p>
      <w:pPr>
        <w:spacing w:after="0"/>
      </w:pPr>
    </w:p>
    <w:p>
      <w:pPr>
        <w:pStyle w:val="Heading1"/>
      </w:pPr>
      <w:r>
        <w:t>Work completed across the three weeks</w:t>
      </w:r>
    </w:p>
    <w:tbl>
      <w:tblPr>
        <w:tblStyle w:val="TableGrid"/>
        <w:tblW w:type="auto" w:w="0"/>
        <w:jc w:val="center"/>
        <w:tblLayout w:type="fixed"/>
        <w:tblLook w:firstColumn="1" w:firstRow="1" w:lastColumn="0" w:lastRow="0" w:noHBand="0" w:noVBand="1" w:val="04A0"/>
      </w:tblPr>
      <w:tblGrid>
        <w:gridCol w:w="3118"/>
        <w:gridCol w:w="3118"/>
        <w:gridCol w:w="3118"/>
      </w:tblGrid>
      <w:tr>
        <w:trPr>
          <w:tblHeader/>
        </w:trPr>
        <w:tc>
          <w:tcPr>
            <w:tcW w:type="dxa" w:w="1474"/>
            <w:vAlign w:val="center"/>
            <w:shd w:fill="DCE7F1"/>
          </w:tcPr>
          <w:p>
            <w:pPr>
              <w:spacing w:after="0" w:before="0"/>
            </w:pPr>
            <w:r>
              <w:rPr>
                <w:b/>
                <w:sz w:val="17"/>
              </w:rPr>
              <w:t>Period</w:t>
            </w:r>
          </w:p>
        </w:tc>
        <w:tc>
          <w:tcPr>
            <w:tcW w:type="dxa" w:w="3912"/>
            <w:vAlign w:val="center"/>
            <w:shd w:fill="DCE7F1"/>
          </w:tcPr>
          <w:p>
            <w:pPr>
              <w:spacing w:after="0" w:before="0"/>
            </w:pPr>
            <w:r>
              <w:rPr>
                <w:b/>
                <w:sz w:val="17"/>
              </w:rPr>
              <w:t>Component C deliverable</w:t>
            </w:r>
          </w:p>
        </w:tc>
        <w:tc>
          <w:tcPr>
            <w:tcW w:type="dxa" w:w="3969"/>
            <w:vAlign w:val="center"/>
            <w:shd w:fill="DCE7F1"/>
          </w:tcPr>
          <w:p>
            <w:pPr>
              <w:spacing w:after="0" w:before="0"/>
            </w:pPr>
            <w:r>
              <w:rPr>
                <w:b/>
                <w:sz w:val="17"/>
              </w:rPr>
              <w:t>What the evidence established</w:t>
            </w:r>
          </w:p>
        </w:tc>
      </w:tr>
      <w:tr>
        <w:tc>
          <w:tcPr>
            <w:tcW w:type="dxa" w:w="3118"/>
            <w:vAlign w:val="center"/>
          </w:tcPr>
          <w:p>
            <w:pPr>
              <w:spacing w:after="0" w:before="0"/>
            </w:pPr>
            <w:r>
              <w:rPr>
                <w:b w:val="0"/>
                <w:sz w:val="17"/>
              </w:rPr>
              <w:t>21–27 September</w:t>
            </w:r>
          </w:p>
        </w:tc>
        <w:tc>
          <w:tcPr>
            <w:tcW w:type="dxa" w:w="3118"/>
            <w:vAlign w:val="center"/>
          </w:tcPr>
          <w:p>
            <w:pPr>
              <w:spacing w:after="0" w:before="0"/>
            </w:pPr>
            <w:r>
              <w:rPr>
                <w:b w:val="0"/>
                <w:sz w:val="17"/>
              </w:rPr>
              <w:t>Provisional OSM network, detector loops, seeded SUMO pipeline and diagnostic GIF.</w:t>
            </w:r>
          </w:p>
        </w:tc>
        <w:tc>
          <w:tcPr>
            <w:tcW w:type="dxa" w:w="3118"/>
            <w:vAlign w:val="center"/>
          </w:tcPr>
          <w:p>
            <w:pPr>
              <w:spacing w:after="0" w:before="0"/>
            </w:pPr>
            <w:r>
              <w:rPr>
                <w:b w:val="0"/>
                <w:sz w:val="17"/>
              </w:rPr>
              <w:t>The first Aberdeen run stopped at 6,410 of 30,900 seconds amid teleport warnings; no count or speed bin was scoreable. It was a visual diagnostic, not validation.</w:t>
            </w:r>
          </w:p>
        </w:tc>
      </w:tr>
      <w:tr>
        <w:tc>
          <w:tcPr>
            <w:tcW w:type="dxa" w:w="3118"/>
            <w:vAlign w:val="center"/>
            <w:shd w:fill="F4F7FA"/>
          </w:tcPr>
          <w:p>
            <w:pPr>
              <w:spacing w:after="0" w:before="0"/>
            </w:pPr>
            <w:r>
              <w:rPr>
                <w:b w:val="0"/>
                <w:sz w:val="17"/>
              </w:rPr>
              <w:t>28 September–4 October</w:t>
            </w:r>
          </w:p>
        </w:tc>
        <w:tc>
          <w:tcPr>
            <w:tcW w:type="dxa" w:w="3118"/>
            <w:vAlign w:val="center"/>
            <w:shd w:fill="F4F7FA"/>
          </w:tcPr>
          <w:p>
            <w:pPr>
              <w:spacing w:after="0" w:before="0"/>
            </w:pPr>
            <w:r>
              <w:rPr>
                <w:b w:val="0"/>
                <w:sz w:val="17"/>
              </w:rPr>
              <w:t>Left-hand conversion, direction and lane audits, corrected demand and evaluation, full traffic-only recording and May 15 pre-incident checks.</w:t>
            </w:r>
          </w:p>
        </w:tc>
        <w:tc>
          <w:tcPr>
            <w:tcW w:type="dxa" w:w="3118"/>
            <w:vAlign w:val="center"/>
            <w:shd w:fill="F4F7FA"/>
          </w:tcPr>
          <w:p>
            <w:pPr>
              <w:spacing w:after="0" w:before="0"/>
            </w:pPr>
            <w:r>
              <w:rPr>
                <w:b w:val="0"/>
                <w:sz w:val="17"/>
              </w:rPr>
              <w:t>The early diagnostic still missed count and speed targets. A saved MP4 showed real SUMO traffic on the provisional network, without an inferred closure or benefit claim.</w:t>
            </w:r>
          </w:p>
        </w:tc>
      </w:tr>
      <w:tr>
        <w:tc>
          <w:tcPr>
            <w:tcW w:type="dxa" w:w="3118"/>
            <w:vAlign w:val="center"/>
          </w:tcPr>
          <w:p>
            <w:pPr>
              <w:spacing w:after="0" w:before="0"/>
            </w:pPr>
            <w:r>
              <w:rPr>
                <w:b w:val="0"/>
                <w:sz w:val="17"/>
              </w:rPr>
              <w:t>5–13 October</w:t>
            </w:r>
          </w:p>
        </w:tc>
        <w:tc>
          <w:tcPr>
            <w:tcW w:type="dxa" w:w="3118"/>
            <w:vAlign w:val="center"/>
          </w:tcPr>
          <w:p>
            <w:pPr>
              <w:spacing w:after="0" w:before="0"/>
            </w:pPr>
            <w:r>
              <w:rPr>
                <w:b w:val="0"/>
                <w:sz w:val="17"/>
              </w:rPr>
              <w:t>Independent flow-balance replay, evidence-labelled P0 setup, bounded incident sensitivity and joint evaluator review.</w:t>
            </w:r>
          </w:p>
        </w:tc>
        <w:tc>
          <w:tcPr>
            <w:tcW w:type="dxa" w:w="3118"/>
            <w:vAlign w:val="center"/>
          </w:tcPr>
          <w:p>
            <w:pPr>
              <w:spacing w:after="0" w:before="0"/>
            </w:pPr>
            <w:r>
              <w:rPr>
                <w:b w:val="0"/>
                <w:sz w:val="17"/>
              </w:rPr>
              <w:t>No-closure count fit improved substantially; corrected incident P0 passed whole-run headlines but failed the behaviour review needed to rank plans.</w:t>
            </w:r>
          </w:p>
        </w:tc>
      </w:tr>
    </w:tbl>
    <w:p>
      <w:pPr>
        <w:spacing w:after="0"/>
      </w:pPr>
    </w:p>
    <w:p>
      <w:pPr>
        <w:pStyle w:val="Heading2"/>
      </w:pPr>
      <w:r>
        <w:t>Network and measurement pipeline</w:t>
      </w:r>
    </w:p>
    <w:p>
      <w:pPr>
        <w:widowControl/>
      </w:pPr>
      <w:r>
        <w:t>We converted the Hong Kong OSM corridor with left-hand traffic, made detector matching direction-aware, checked road and lane scope against the feed, and placed loops across carriageway lanes so observed whole-road counts are compared with whole-road simulated counts. We corrected timestamp matching, missing or zero-speed handling, pre-incident demand fitting, run duration, warm-up and generated-input paths. The route and detector audits preserve source hashes and flag uncertain placements rather than silently substituting a nearby road. The network remains provisional: graph connectivity and improved scores do not prove the physical legality of each turn, ramp or detector cross-section.</w:t>
      </w:r>
    </w:p>
    <w:p>
      <w:pPr>
        <w:widowControl/>
      </w:pPr>
      <w:r>
        <w:t>The original fitter could pool incident counts into one early hour, and its random routes could overload an unrelated bottleneck. The revised pipeline uses the pre-incident calibration window, spreads flows over the simulated period, and preserves scenario input identity. Timed runs use command-line SUMO with a wall-clock guard and report waiting, teleports and unfinished vehicles alongside accuracy. The traffic-only MP4 and the earlier GIF document what the model rendered; neither is evidence of a validated incident response.</w:t>
      </w:r>
    </w:p>
    <w:p>
      <w:pPr>
        <w:pStyle w:val="Heading2"/>
      </w:pPr>
      <w:r>
        <w:t>Calibration and independent reproduction</w:t>
      </w:r>
    </w:p>
    <w:p>
      <w:pPr>
        <w:widowControl/>
      </w:pPr>
      <w:r>
        <w:t>The early May 15 pre-incident diagnostic scored 66.53% count GEH below 5 across 242 bins and 36.94% speed error across 296 bins. Data's flow-balance inputs changed demand placement, joins and speed profiles. Simulation rebuilt that no-closure case independently with SUMO 1.27.1, seed 2026, 30 minutes of warm-up and the 07:55–08:55 scoring window. It reproduced 96.7% / 242 count bins, 15.7% / 299 speed bins, 238 of 16,601 vehicles waiting to enter, and zero teleports. Without imposed speed signs, the same replay kept its count score but speed error rose to 41.2% and waiting to enter rose to 523. The byte hashes of the rebuilt Windows network and Data's Linux network differed, so we established score and row equivalence, not byte identity.</w:t>
      </w:r>
    </w:p>
    <w:p>
      <w:pPr>
        <w:pStyle w:val="Heading2"/>
      </w:pPr>
      <w:r>
        <w:t>Incident replay and evaluator review</w:t>
      </w:r>
    </w:p>
    <w:p>
      <w:pPr>
        <w:widowControl/>
      </w:pPr>
      <w:r>
        <w:t>We agreed edge 44419212 as the provisional flyover scene and lane 0 as a detector-inferred initial slow-lane choice. The exact crash position and physical closure transitions are not observed. TD reported part of the lanes at 09:01, all lanes at 09:36, and clearance at 10:02; these message times must not be presented as measured physical transition seconds. Data's corrected replay uses a modelled surface detour under the flyover. We accepted that detour as a bounded graph correction after SUMO's generic rerouting trapped 96 Canal Road-bound vehicles in Happy Valley streets, but not as proof of real route choice.</w:t>
      </w:r>
    </w:p>
    <w:p>
      <w:pPr>
        <w:widowControl/>
      </w:pPr>
      <w:r>
        <w:t>Our first independent evaluator control reproduced Data's earlier P0 at 89.29% count fit and 14.54% speed error. Extending move-over warning from 77.11 m to 330.96 m removed two jam teleports but left the same wrong-lane vehicle at the same lane and time. We then reviewed Data's corrected replay and its six-seed sensitivities. Moving a pre-incident join from ramp 46766432 to the main line removes a model backlog, but no independent source establishes that physical origin. Without that change, ramp waiting reaches 762.5 vehicle-hours and rehearsal P2 changes from +5.2% to −2.7% relative delay. The sign of the result depends on an unresolved modelling choice.</w:t>
      </w:r>
    </w:p>
    <w:p>
      <w:pPr>
        <w:pStyle w:val="Heading1"/>
      </w:pPr>
      <w:r>
        <w:t>Performance evidence</w:t>
      </w:r>
    </w:p>
    <w:tbl>
      <w:tblPr>
        <w:tblStyle w:val="TableGrid"/>
        <w:tblW w:type="auto" w:w="0"/>
        <w:jc w:val="center"/>
        <w:tblLayout w:type="fixed"/>
        <w:tblLook w:firstColumn="1" w:firstRow="1" w:lastColumn="0" w:lastRow="0" w:noHBand="0" w:noVBand="1" w:val="04A0"/>
      </w:tblPr>
      <w:tblGrid>
        <w:gridCol w:w="2338"/>
        <w:gridCol w:w="2338"/>
        <w:gridCol w:w="2338"/>
        <w:gridCol w:w="2338"/>
      </w:tblGrid>
      <w:tr>
        <w:trPr>
          <w:tblHeader/>
        </w:trPr>
        <w:tc>
          <w:tcPr>
            <w:tcW w:type="dxa" w:w="2948"/>
            <w:vAlign w:val="center"/>
            <w:shd w:fill="DCE7F1"/>
          </w:tcPr>
          <w:p>
            <w:pPr>
              <w:spacing w:after="0" w:before="0"/>
            </w:pPr>
            <w:r>
              <w:rPr>
                <w:b/>
                <w:sz w:val="17"/>
              </w:rPr>
              <w:t>Run and scope</w:t>
            </w:r>
          </w:p>
        </w:tc>
        <w:tc>
          <w:tcPr>
            <w:tcW w:type="dxa" w:w="1701"/>
            <w:vAlign w:val="center"/>
            <w:shd w:fill="DCE7F1"/>
          </w:tcPr>
          <w:p>
            <w:pPr>
              <w:spacing w:after="0" w:before="0"/>
            </w:pPr>
            <w:r>
              <w:rPr>
                <w:b/>
                <w:sz w:val="17"/>
              </w:rPr>
              <w:t>Count GEH below 5</w:t>
            </w:r>
          </w:p>
        </w:tc>
        <w:tc>
          <w:tcPr>
            <w:tcW w:type="dxa" w:w="1531"/>
            <w:vAlign w:val="center"/>
            <w:shd w:fill="DCE7F1"/>
          </w:tcPr>
          <w:p>
            <w:pPr>
              <w:spacing w:after="0" w:before="0"/>
            </w:pPr>
            <w:r>
              <w:rPr>
                <w:b/>
                <w:sz w:val="17"/>
              </w:rPr>
              <w:t>Speed MAPE</w:t>
            </w:r>
          </w:p>
        </w:tc>
        <w:tc>
          <w:tcPr>
            <w:tcW w:type="dxa" w:w="3175"/>
            <w:vAlign w:val="center"/>
            <w:shd w:fill="DCE7F1"/>
          </w:tcPr>
          <w:p>
            <w:pPr>
              <w:spacing w:after="0" w:before="0"/>
            </w:pPr>
            <w:r>
              <w:rPr>
                <w:b/>
                <w:sz w:val="17"/>
              </w:rPr>
              <w:t>Material qualification</w:t>
            </w:r>
          </w:p>
        </w:tc>
      </w:tr>
      <w:tr>
        <w:tc>
          <w:tcPr>
            <w:tcW w:type="dxa" w:w="2338"/>
            <w:vAlign w:val="center"/>
          </w:tcPr>
          <w:p>
            <w:pPr>
              <w:spacing w:after="0" w:before="0"/>
            </w:pPr>
            <w:r>
              <w:rPr>
                <w:b w:val="0"/>
                <w:sz w:val="17"/>
              </w:rPr>
              <w:t>Early May 15 pre-incident diagnostic</w:t>
            </w:r>
          </w:p>
        </w:tc>
        <w:tc>
          <w:tcPr>
            <w:tcW w:type="dxa" w:w="2338"/>
            <w:vAlign w:val="center"/>
          </w:tcPr>
          <w:p>
            <w:pPr>
              <w:spacing w:after="0" w:before="0"/>
            </w:pPr>
            <w:r>
              <w:rPr>
                <w:b w:val="0"/>
                <w:sz w:val="17"/>
              </w:rPr>
              <w:t>66.53% / 242</w:t>
            </w:r>
          </w:p>
        </w:tc>
        <w:tc>
          <w:tcPr>
            <w:tcW w:type="dxa" w:w="2338"/>
            <w:vAlign w:val="center"/>
          </w:tcPr>
          <w:p>
            <w:pPr>
              <w:spacing w:after="0" w:before="0"/>
            </w:pPr>
            <w:r>
              <w:rPr>
                <w:b w:val="0"/>
                <w:sz w:val="17"/>
              </w:rPr>
              <w:t>36.94% / 296</w:t>
            </w:r>
          </w:p>
        </w:tc>
        <w:tc>
          <w:tcPr>
            <w:tcW w:type="dxa" w:w="2338"/>
            <w:vAlign w:val="center"/>
          </w:tcPr>
          <w:p>
            <w:pPr>
              <w:spacing w:after="0" w:before="0"/>
            </w:pPr>
            <w:r>
              <w:rPr>
                <w:b w:val="0"/>
                <w:sz w:val="17"/>
              </w:rPr>
              <w:t>Below both targets; not a validated baseline.</w:t>
            </w:r>
          </w:p>
        </w:tc>
      </w:tr>
      <w:tr>
        <w:tc>
          <w:tcPr>
            <w:tcW w:type="dxa" w:w="2338"/>
            <w:vAlign w:val="center"/>
            <w:shd w:fill="F4F7FA"/>
          </w:tcPr>
          <w:p>
            <w:pPr>
              <w:spacing w:after="0" w:before="0"/>
            </w:pPr>
            <w:r>
              <w:rPr>
                <w:b w:val="0"/>
                <w:sz w:val="17"/>
              </w:rPr>
              <w:t>Independent flow-balance no-closure hour</w:t>
            </w:r>
          </w:p>
        </w:tc>
        <w:tc>
          <w:tcPr>
            <w:tcW w:type="dxa" w:w="2338"/>
            <w:vAlign w:val="center"/>
            <w:shd w:fill="F4F7FA"/>
          </w:tcPr>
          <w:p>
            <w:pPr>
              <w:spacing w:after="0" w:before="0"/>
            </w:pPr>
            <w:r>
              <w:rPr>
                <w:b w:val="0"/>
                <w:sz w:val="17"/>
              </w:rPr>
              <w:t>96.7% / 242</w:t>
            </w:r>
          </w:p>
        </w:tc>
        <w:tc>
          <w:tcPr>
            <w:tcW w:type="dxa" w:w="2338"/>
            <w:vAlign w:val="center"/>
            <w:shd w:fill="F4F7FA"/>
          </w:tcPr>
          <w:p>
            <w:pPr>
              <w:spacing w:after="0" w:before="0"/>
            </w:pPr>
            <w:r>
              <w:rPr>
                <w:b w:val="0"/>
                <w:sz w:val="17"/>
              </w:rPr>
              <w:t>15.7% / 299</w:t>
            </w:r>
          </w:p>
        </w:tc>
        <w:tc>
          <w:tcPr>
            <w:tcW w:type="dxa" w:w="2338"/>
            <w:vAlign w:val="center"/>
            <w:shd w:fill="F4F7FA"/>
          </w:tcPr>
          <w:p>
            <w:pPr>
              <w:spacing w:after="0" w:before="0"/>
            </w:pPr>
            <w:r>
              <w:rPr>
                <w:b w:val="0"/>
                <w:sz w:val="17"/>
              </w:rPr>
              <w:t>238 waiting to enter; ordinary speed signs are inputs.</w:t>
            </w:r>
          </w:p>
        </w:tc>
      </w:tr>
      <w:tr>
        <w:tc>
          <w:tcPr>
            <w:tcW w:type="dxa" w:w="2338"/>
            <w:vAlign w:val="center"/>
          </w:tcPr>
          <w:p>
            <w:pPr>
              <w:spacing w:after="0" w:before="0"/>
            </w:pPr>
            <w:r>
              <w:rPr>
                <w:b w:val="0"/>
                <w:sz w:val="17"/>
              </w:rPr>
              <w:t>Same no-closure run without speed signs</w:t>
            </w:r>
          </w:p>
        </w:tc>
        <w:tc>
          <w:tcPr>
            <w:tcW w:type="dxa" w:w="2338"/>
            <w:vAlign w:val="center"/>
          </w:tcPr>
          <w:p>
            <w:pPr>
              <w:spacing w:after="0" w:before="0"/>
            </w:pPr>
            <w:r>
              <w:rPr>
                <w:b w:val="0"/>
                <w:sz w:val="17"/>
              </w:rPr>
              <w:t>96.7% / 242</w:t>
            </w:r>
          </w:p>
        </w:tc>
        <w:tc>
          <w:tcPr>
            <w:tcW w:type="dxa" w:w="2338"/>
            <w:vAlign w:val="center"/>
          </w:tcPr>
          <w:p>
            <w:pPr>
              <w:spacing w:after="0" w:before="0"/>
            </w:pPr>
            <w:r>
              <w:rPr>
                <w:b w:val="0"/>
                <w:sz w:val="17"/>
              </w:rPr>
              <w:t>41.2% / 299</w:t>
            </w:r>
          </w:p>
        </w:tc>
        <w:tc>
          <w:tcPr>
            <w:tcW w:type="dxa" w:w="2338"/>
            <w:vAlign w:val="center"/>
          </w:tcPr>
          <w:p>
            <w:pPr>
              <w:spacing w:after="0" w:before="0"/>
            </w:pPr>
            <w:r>
              <w:rPr>
                <w:b w:val="0"/>
                <w:sz w:val="17"/>
              </w:rPr>
              <w:t>Shows dependence of speed fit on imposed profiles.</w:t>
            </w:r>
          </w:p>
        </w:tc>
      </w:tr>
      <w:tr>
        <w:tc>
          <w:tcPr>
            <w:tcW w:type="dxa" w:w="2338"/>
            <w:vAlign w:val="center"/>
            <w:shd w:fill="F4F7FA"/>
          </w:tcPr>
          <w:p>
            <w:pPr>
              <w:spacing w:after="0" w:before="0"/>
            </w:pPr>
            <w:r>
              <w:rPr>
                <w:b w:val="0"/>
                <w:sz w:val="17"/>
              </w:rPr>
              <w:t>Corrected incident P0, whole run</w:t>
            </w:r>
          </w:p>
        </w:tc>
        <w:tc>
          <w:tcPr>
            <w:tcW w:type="dxa" w:w="2338"/>
            <w:vAlign w:val="center"/>
            <w:shd w:fill="F4F7FA"/>
          </w:tcPr>
          <w:p>
            <w:pPr>
              <w:spacing w:after="0" w:before="0"/>
            </w:pPr>
            <w:r>
              <w:rPr>
                <w:b w:val="0"/>
                <w:sz w:val="17"/>
              </w:rPr>
              <w:t>89.45% / 607</w:t>
            </w:r>
          </w:p>
        </w:tc>
        <w:tc>
          <w:tcPr>
            <w:tcW w:type="dxa" w:w="2338"/>
            <w:vAlign w:val="center"/>
            <w:shd w:fill="F4F7FA"/>
          </w:tcPr>
          <w:p>
            <w:pPr>
              <w:spacing w:after="0" w:before="0"/>
            </w:pPr>
            <w:r>
              <w:rPr>
                <w:b w:val="0"/>
                <w:sz w:val="17"/>
              </w:rPr>
              <w:t>14.44% / 787</w:t>
            </w:r>
          </w:p>
        </w:tc>
        <w:tc>
          <w:tcPr>
            <w:tcW w:type="dxa" w:w="2338"/>
            <w:vAlign w:val="center"/>
            <w:shd w:fill="F4F7FA"/>
          </w:tcPr>
          <w:p>
            <w:pPr>
              <w:spacing w:after="0" w:before="0"/>
            </w:pPr>
            <w:r>
              <w:rPr>
                <w:b w:val="0"/>
                <w:sz w:val="17"/>
              </w:rPr>
              <w:t>Data result; six reported seeds meet headline targets.</w:t>
            </w:r>
          </w:p>
        </w:tc>
      </w:tr>
      <w:tr>
        <w:tc>
          <w:tcPr>
            <w:tcW w:type="dxa" w:w="2338"/>
            <w:vAlign w:val="center"/>
          </w:tcPr>
          <w:p>
            <w:pPr>
              <w:spacing w:after="0" w:before="0"/>
            </w:pPr>
            <w:r>
              <w:rPr>
                <w:b w:val="0"/>
                <w:sz w:val="17"/>
              </w:rPr>
              <w:t>Corrected P0, during closure</w:t>
            </w:r>
          </w:p>
        </w:tc>
        <w:tc>
          <w:tcPr>
            <w:tcW w:type="dxa" w:w="2338"/>
            <w:vAlign w:val="center"/>
          </w:tcPr>
          <w:p>
            <w:pPr>
              <w:spacing w:after="0" w:before="0"/>
            </w:pPr>
            <w:r>
              <w:rPr>
                <w:b w:val="0"/>
                <w:sz w:val="17"/>
              </w:rPr>
              <w:t>83.15% / 267</w:t>
            </w:r>
          </w:p>
        </w:tc>
        <w:tc>
          <w:tcPr>
            <w:tcW w:type="dxa" w:w="2338"/>
            <w:vAlign w:val="center"/>
          </w:tcPr>
          <w:p>
            <w:pPr>
              <w:spacing w:after="0" w:before="0"/>
            </w:pPr>
            <w:r>
              <w:rPr>
                <w:b w:val="0"/>
                <w:sz w:val="17"/>
              </w:rPr>
              <w:t>14.15% / 338</w:t>
            </w:r>
          </w:p>
        </w:tc>
        <w:tc>
          <w:tcPr>
            <w:tcW w:type="dxa" w:w="2338"/>
            <w:vAlign w:val="center"/>
          </w:tcPr>
          <w:p>
            <w:pPr>
              <w:spacing w:after="0" w:before="0"/>
            </w:pPr>
            <w:r>
              <w:rPr>
                <w:b w:val="0"/>
                <w:sz w:val="17"/>
              </w:rPr>
              <w:t>Count fit misses the 85% target where plans would act.</w:t>
            </w:r>
          </w:p>
        </w:tc>
      </w:tr>
      <w:tr>
        <w:tc>
          <w:tcPr>
            <w:tcW w:type="dxa" w:w="2338"/>
            <w:vAlign w:val="center"/>
            <w:shd w:fill="F4F7FA"/>
          </w:tcPr>
          <w:p>
            <w:pPr>
              <w:spacing w:after="0" w:before="0"/>
            </w:pPr>
            <w:r>
              <w:rPr>
                <w:b w:val="0"/>
                <w:sz w:val="17"/>
              </w:rPr>
              <w:t>Corrected P0, ordinary signs throughout</w:t>
            </w:r>
          </w:p>
        </w:tc>
        <w:tc>
          <w:tcPr>
            <w:tcW w:type="dxa" w:w="2338"/>
            <w:vAlign w:val="center"/>
            <w:shd w:fill="F4F7FA"/>
          </w:tcPr>
          <w:p>
            <w:pPr>
              <w:spacing w:after="0" w:before="0"/>
            </w:pPr>
            <w:r>
              <w:rPr>
                <w:b w:val="0"/>
                <w:sz w:val="17"/>
              </w:rPr>
              <w:t>89.12% / 607</w:t>
            </w:r>
          </w:p>
        </w:tc>
        <w:tc>
          <w:tcPr>
            <w:tcW w:type="dxa" w:w="2338"/>
            <w:vAlign w:val="center"/>
            <w:shd w:fill="F4F7FA"/>
          </w:tcPr>
          <w:p>
            <w:pPr>
              <w:spacing w:after="0" w:before="0"/>
            </w:pPr>
            <w:r>
              <w:rPr>
                <w:b w:val="0"/>
                <w:sz w:val="17"/>
              </w:rPr>
              <w:t>16.94% / 787</w:t>
            </w:r>
          </w:p>
        </w:tc>
        <w:tc>
          <w:tcPr>
            <w:tcW w:type="dxa" w:w="2338"/>
            <w:vAlign w:val="center"/>
            <w:shd w:fill="F4F7FA"/>
          </w:tcPr>
          <w:p>
            <w:pPr>
              <w:spacing w:after="0" w:before="0"/>
            </w:pPr>
            <w:r>
              <w:rPr>
                <w:b w:val="0"/>
                <w:sz w:val="17"/>
              </w:rPr>
              <w:t>Fairer counterfactual speed input misses speed target.</w:t>
            </w:r>
          </w:p>
        </w:tc>
      </w:tr>
    </w:tbl>
    <w:p>
      <w:pPr>
        <w:spacing w:after="0"/>
      </w:pPr>
    </w:p>
    <w:p>
      <w:pPr>
        <w:widowControl/>
      </w:pPr>
      <w:r>
        <w:t>GEH is the team's count-bin threshold (at least 85% below 5); speed MAPE has an approximate 15% target. Rows cover different questions and must not be substituted for one another. The corrected incident run is Data's generated result, reviewed by Simulation; the independent replay above was of the preceding evaluator version.</w:t>
      </w:r>
    </w:p>
    <w:p>
      <w:pPr>
        <w:pStyle w:val="Heading1"/>
      </w:pPr>
      <w:r>
        <w:t>Why incident P0 remains unaccepted</w:t>
      </w:r>
    </w:p>
    <w:p>
      <w:pPr>
        <w:pStyle w:val="ListBullet"/>
        <w:widowControl/>
      </w:pPr>
      <w:r>
        <w:t>Tunnel-side volume: during closure the corrected model sends about 47 vehicles per five minutes past AID01106 versus 90 observed, and 46 versus 96 at AID01108. AID01106 is placed at the tunnel entrance on edge 1198101443 but its precise physical cross-section is not confirmed.</w:t>
      </w:r>
    </w:p>
    <w:p>
      <w:pPr>
        <w:pStyle w:val="ListBullet"/>
        <w:widowControl/>
      </w:pPr>
      <w:r>
        <w:t>Speed and recovery: 20 detectors inherit the preceding quarter-hour's incident-day speed on signs. Where the model makes speed itself, error is 31.33%. Ordinary signs give 16.94%; a one-stage reopening gives 15.78%. The two-stage reopening is not supported as a flyover-wide physical restriction through 10:20 because AID01104 records traffic in both lanes from 10:04.</w:t>
      </w:r>
    </w:p>
    <w:p>
      <w:pPr>
        <w:pStyle w:val="ListBullet"/>
        <w:widowControl/>
      </w:pPr>
      <w:r>
        <w:t>Queue and ramp: the upstream queue can arrive 10–15 minutes early. The ramp's minor-priority merge creates waiting before the incident, while the alternative main-line origin is unverified. These choices can reverse a plan ranking.</w:t>
      </w:r>
    </w:p>
    <w:p>
      <w:pPr>
        <w:pStyle w:val="ListBullet"/>
        <w:widowControl/>
      </w:pPr>
      <w:r>
        <w:t>Behaviour and run health: the 40% drivers-leave share and entry give-up rule are fitted, not independently measured. The corrected P0 reports three wrong-lane teleports before the fork. A longer warning did not remove the one traced in our control sensitivity.</w:t>
      </w:r>
    </w:p>
    <w:p>
      <w:pPr>
        <w:keepLines/>
        <w:widowControl/>
      </w:pPr>
      <w:r>
        <w:t>Earlier comparisons used stand-in plans. On 13 October the Lead merged actual Qwen3-generated P0/P1/P2 candidates and their call evidence. P1 advises both supplied OD groups despite its misleading title; P2 proposes shares 0.8 and 0.7 plus an assumed 20-second green extension. These are retrospective drafts that pass implemented constraints. Their existence closes the plan-generation handoff gap; it does not resolve P0 validity or establish a recommended response.</w:t>
      </w:r>
    </w:p>
    <w:p>
      <w:pPr>
        <w:pStyle w:val="Heading2"/>
      </w:pPr>
      <w:r>
        <w:t>Bounded run of the exact AI plans</w:t>
      </w:r>
    </w:p>
    <w:p>
      <w:pPr>
        <w:widowControl/>
      </w:pPr>
      <w:r>
        <w:t>Component C ran those exact saved plans once on the corrected replay with seed 2026, compliance 0.5 and 66-minute clearance. P0, P1 and P2 completed the 11,400-second horizon under a five-minute wall guard per run. Their original result, report and sidecar files verify against the saved plans, generation inputs and 13 captured simulator identities. These are new results in a separate diagnostic folder, not relabelled rehearsal figures.</w:t>
      </w:r>
    </w:p>
    <w:tbl>
      <w:tblPr>
        <w:tblStyle w:val="TableGrid"/>
        <w:tblW w:type="auto" w:w="0"/>
        <w:jc w:val="center"/>
        <w:tblLayout w:type="fixed"/>
        <w:tblLook w:firstColumn="1" w:firstRow="1" w:lastColumn="0" w:lastRow="0" w:noHBand="0" w:noVBand="1" w:val="04A0"/>
      </w:tblPr>
      <w:tblGrid>
        <w:gridCol w:w="2338"/>
        <w:gridCol w:w="2338"/>
        <w:gridCol w:w="2338"/>
        <w:gridCol w:w="2338"/>
      </w:tblGrid>
      <w:tr>
        <w:trPr>
          <w:tblHeader/>
        </w:trPr>
        <w:tc>
          <w:tcPr>
            <w:tcW w:type="dxa" w:w="3175"/>
            <w:vAlign w:val="center"/>
            <w:shd w:fill="DCE7F1"/>
          </w:tcPr>
          <w:p>
            <w:pPr>
              <w:spacing w:after="0" w:before="0"/>
            </w:pPr>
            <w:r>
              <w:rPr>
                <w:b/>
                <w:sz w:val="17"/>
              </w:rPr>
              <w:t>Actual Lead plan</w:t>
            </w:r>
          </w:p>
        </w:tc>
        <w:tc>
          <w:tcPr>
            <w:tcW w:type="dxa" w:w="2041"/>
            <w:vAlign w:val="center"/>
            <w:shd w:fill="DCE7F1"/>
          </w:tcPr>
          <w:p>
            <w:pPr>
              <w:spacing w:after="0" w:before="0"/>
            </w:pPr>
            <w:r>
              <w:rPr>
                <w:b/>
                <w:sz w:val="17"/>
              </w:rPr>
              <w:t>Model delay, veh-h</w:t>
            </w:r>
          </w:p>
        </w:tc>
        <w:tc>
          <w:tcPr>
            <w:tcW w:type="dxa" w:w="1587"/>
            <w:vAlign w:val="center"/>
            <w:shd w:fill="DCE7F1"/>
          </w:tcPr>
          <w:p>
            <w:pPr>
              <w:spacing w:after="0" w:before="0"/>
            </w:pPr>
            <w:r>
              <w:rPr>
                <w:b/>
                <w:sz w:val="17"/>
              </w:rPr>
              <w:t>Versus P0</w:t>
            </w:r>
          </w:p>
        </w:tc>
        <w:tc>
          <w:tcPr>
            <w:tcW w:type="dxa" w:w="2551"/>
            <w:vAlign w:val="center"/>
            <w:shd w:fill="DCE7F1"/>
          </w:tcPr>
          <w:p>
            <w:pPr>
              <w:spacing w:after="0" w:before="0"/>
            </w:pPr>
            <w:r>
              <w:rPr>
                <w:b/>
                <w:sz w:val="17"/>
              </w:rPr>
              <w:t>Wrong-lane teleports</w:t>
            </w:r>
          </w:p>
        </w:tc>
      </w:tr>
      <w:tr>
        <w:tc>
          <w:tcPr>
            <w:tcW w:type="dxa" w:w="2338"/>
            <w:vAlign w:val="center"/>
          </w:tcPr>
          <w:p>
            <w:pPr>
              <w:spacing w:after="0" w:before="0"/>
            </w:pPr>
            <w:r>
              <w:rPr>
                <w:b w:val="0"/>
                <w:sz w:val="17"/>
              </w:rPr>
              <w:t>P0 no action</w:t>
            </w:r>
          </w:p>
        </w:tc>
        <w:tc>
          <w:tcPr>
            <w:tcW w:type="dxa" w:w="2338"/>
            <w:vAlign w:val="center"/>
          </w:tcPr>
          <w:p>
            <w:pPr>
              <w:spacing w:after="0" w:before="0"/>
            </w:pPr>
            <w:r>
              <w:rPr>
                <w:b w:val="0"/>
                <w:sz w:val="17"/>
              </w:rPr>
              <w:t>870.6</w:t>
            </w:r>
          </w:p>
        </w:tc>
        <w:tc>
          <w:tcPr>
            <w:tcW w:type="dxa" w:w="2338"/>
            <w:vAlign w:val="center"/>
          </w:tcPr>
          <w:p>
            <w:pPr>
              <w:spacing w:after="0" w:before="0"/>
            </w:pPr>
            <w:r>
              <w:rPr>
                <w:b w:val="0"/>
                <w:sz w:val="17"/>
              </w:rPr>
              <w:t>reference</w:t>
            </w:r>
          </w:p>
        </w:tc>
        <w:tc>
          <w:tcPr>
            <w:tcW w:type="dxa" w:w="2338"/>
            <w:vAlign w:val="center"/>
          </w:tcPr>
          <w:p>
            <w:pPr>
              <w:spacing w:after="0" w:before="0"/>
            </w:pPr>
            <w:r>
              <w:rPr>
                <w:b w:val="0"/>
                <w:sz w:val="17"/>
              </w:rPr>
              <w:t>3</w:t>
            </w:r>
          </w:p>
        </w:tc>
      </w:tr>
      <w:tr>
        <w:tc>
          <w:tcPr>
            <w:tcW w:type="dxa" w:w="2338"/>
            <w:vAlign w:val="center"/>
            <w:shd w:fill="F4F7FA"/>
          </w:tcPr>
          <w:p>
            <w:pPr>
              <w:spacing w:after="0" w:before="0"/>
            </w:pPr>
            <w:r>
              <w:rPr>
                <w:b w:val="0"/>
                <w:sz w:val="17"/>
              </w:rPr>
              <w:t>P1 two-group detour</w:t>
            </w:r>
          </w:p>
        </w:tc>
        <w:tc>
          <w:tcPr>
            <w:tcW w:type="dxa" w:w="2338"/>
            <w:vAlign w:val="center"/>
            <w:shd w:fill="F4F7FA"/>
          </w:tcPr>
          <w:p>
            <w:pPr>
              <w:spacing w:after="0" w:before="0"/>
            </w:pPr>
            <w:r>
              <w:rPr>
                <w:b w:val="0"/>
                <w:sz w:val="17"/>
              </w:rPr>
              <w:t>961.3</w:t>
            </w:r>
          </w:p>
        </w:tc>
        <w:tc>
          <w:tcPr>
            <w:tcW w:type="dxa" w:w="2338"/>
            <w:vAlign w:val="center"/>
            <w:shd w:fill="F4F7FA"/>
          </w:tcPr>
          <w:p>
            <w:pPr>
              <w:spacing w:after="0" w:before="0"/>
            </w:pPr>
            <w:r>
              <w:rPr>
                <w:b w:val="0"/>
                <w:sz w:val="17"/>
              </w:rPr>
              <w:t>+10.4%</w:t>
            </w:r>
          </w:p>
        </w:tc>
        <w:tc>
          <w:tcPr>
            <w:tcW w:type="dxa" w:w="2338"/>
            <w:vAlign w:val="center"/>
            <w:shd w:fill="F4F7FA"/>
          </w:tcPr>
          <w:p>
            <w:pPr>
              <w:spacing w:after="0" w:before="0"/>
            </w:pPr>
            <w:r>
              <w:rPr>
                <w:b w:val="0"/>
                <w:sz w:val="17"/>
              </w:rPr>
              <w:t>7</w:t>
            </w:r>
          </w:p>
        </w:tc>
      </w:tr>
      <w:tr>
        <w:tc>
          <w:tcPr>
            <w:tcW w:type="dxa" w:w="2338"/>
            <w:vAlign w:val="center"/>
          </w:tcPr>
          <w:p>
            <w:pPr>
              <w:spacing w:after="0" w:before="0"/>
            </w:pPr>
            <w:r>
              <w:rPr>
                <w:b w:val="0"/>
                <w:sz w:val="17"/>
              </w:rPr>
              <w:t>P2 partial detour and assumed green extension</w:t>
            </w:r>
          </w:p>
        </w:tc>
        <w:tc>
          <w:tcPr>
            <w:tcW w:type="dxa" w:w="2338"/>
            <w:vAlign w:val="center"/>
          </w:tcPr>
          <w:p>
            <w:pPr>
              <w:spacing w:after="0" w:before="0"/>
            </w:pPr>
            <w:r>
              <w:rPr>
                <w:b w:val="0"/>
                <w:sz w:val="17"/>
              </w:rPr>
              <w:t>952.2</w:t>
            </w:r>
          </w:p>
        </w:tc>
        <w:tc>
          <w:tcPr>
            <w:tcW w:type="dxa" w:w="2338"/>
            <w:vAlign w:val="center"/>
          </w:tcPr>
          <w:p>
            <w:pPr>
              <w:spacing w:after="0" w:before="0"/>
            </w:pPr>
            <w:r>
              <w:rPr>
                <w:b w:val="0"/>
                <w:sz w:val="17"/>
              </w:rPr>
              <w:t>+9.4%</w:t>
            </w:r>
          </w:p>
        </w:tc>
        <w:tc>
          <w:tcPr>
            <w:tcW w:type="dxa" w:w="2338"/>
            <w:vAlign w:val="center"/>
          </w:tcPr>
          <w:p>
            <w:pPr>
              <w:spacing w:after="0" w:before="0"/>
            </w:pPr>
            <w:r>
              <w:rPr>
                <w:b w:val="0"/>
                <w:sz w:val="17"/>
              </w:rPr>
              <w:t>6</w:t>
            </w:r>
          </w:p>
        </w:tc>
      </w:tr>
    </w:tbl>
    <w:p>
      <w:pPr>
        <w:spacing w:after="0"/>
      </w:pPr>
    </w:p>
    <w:p>
      <w:pPr>
        <w:widowControl/>
      </w:pPr>
      <w:r>
        <w:t>These single-seed differences show that D's output reaches E and changes simulated actions. The closure count score remains 83.15%, the ramp and local joins remain unverified, and P1/P2 inherit the same incident model. They cannot be read as measured traffic effects or a supported ranking. Data and Simulation's joint P0 no-go continues.</w:t>
      </w:r>
    </w:p>
    <w:p>
      <w:pPr>
        <w:pStyle w:val="Heading1"/>
      </w:pPr>
      <w:r>
        <w:t>Decision and next evidence gate</w:t>
      </w:r>
    </w:p>
    <w:p>
      <w:pPr>
        <w:widowControl/>
      </w:pPr>
      <w:r>
        <w:t>The Lead now proposes a 16 October results and claims freeze, with the hour unconfirmed; the 15 October package checkpoint and 17 October internal submission remain. Show observed incident playback, recorded Reader and Plan Generator inference, and a labelled operator workflow. The latest F drafts passed structural checks but failed semantic review, so reliable bilingual briefing generation is still undemonstrated. Final rendered slides and playable video remain delivery items. SUMO evidence supports diagnostic discussion, with no accepted recommended route, evaluated-vehicle animation or traffic-benefit figure.</w:t>
      </w:r>
    </w:p>
    <w:p>
      <w:pPr>
        <w:widowControl/>
      </w:pPr>
      <w:r>
        <w:t>A later acceptance review should first obtain independent evidence for the tunnel-side entry and detector location, the ramp's physical priority and joining flow, and actual turning or leaving behaviour. Then rerun one source-backed P0 with ordinary speed inputs and a defensible reopening rule; inspect closure flow, upstream queue onset, tunnel throughput, recovery to 10:35, waiting to enter and every teleport. Only after P0 passes that behaviour review should paired-seed Lead plans be compared on identical inputs with their original provenance sidecars.</w:t>
      </w:r>
    </w:p>
    <w:p>
      <w:pPr>
        <w:pStyle w:val="Heading1"/>
      </w:pPr>
      <w:r>
        <w:t>Evidence and reproduction index</w:t>
      </w:r>
    </w:p>
    <w:p>
      <w:pPr>
        <w:widowControl/>
      </w:pPr>
      <w:r>
        <w:t>Repository: f1ymango/ripple. Main was inspected at 9053d13 on 13 October. The joint P0 review is at a8d04aa. Generated results and original provenance files are the source of numeric claims. The new plans and schedule are documented in docs/lead-genai-handoff-2026-10-13.md and docs/lead-genai-follow-up-2026-10-13.md.</w:t>
      </w:r>
    </w:p>
    <w:p>
      <w:pPr>
        <w:pStyle w:val="ListBullet"/>
        <w:widowControl/>
        <w:spacing w:after="40" w:line="240" w:lineRule="auto"/>
      </w:pPr>
      <w:r>
        <w:rPr>
          <w:sz w:val="17"/>
        </w:rPr>
        <w:t>Initial run and media: results/twin/aberdeen-{run-summary,partial-validation}.json; results/twin/aberdeen-diagnostic.gif; results/twin/aberdeen-full-traffic-sept30.mp4 on the Simulation branch.</w:t>
      </w:r>
    </w:p>
    <w:p>
      <w:pPr>
        <w:pStyle w:val="ListBullet"/>
        <w:widowControl/>
        <w:spacing w:after="40" w:line="240" w:lineRule="auto"/>
      </w:pPr>
      <w:r>
        <w:rPr>
          <w:sz w:val="17"/>
        </w:rPr>
        <w:t>May 15 and network audits: results/twin/may15-preincident-diagnostic.json; results/twin/{osm-network-audit,detector-map-review}.md; docs/sumo-flow-balance-review-2026-10-05.md and results/twin/oct05-flow-balance-{independent,no-speeds}.json.</w:t>
      </w:r>
    </w:p>
    <w:p>
      <w:pPr>
        <w:pStyle w:val="ListBullet"/>
        <w:widowControl/>
        <w:spacing w:after="40" w:line="240" w:lineRule="auto"/>
      </w:pPr>
      <w:r>
        <w:rPr>
          <w:sz w:val="17"/>
        </w:rPr>
        <w:t>Joint decision and correction evidence: docs/evaluator-p0-go-no-go-2026-10-09.md at a8d04aa; docs/evaluator-replay-fixes-2026-10-10.md; docs/simulation-evaluator-review-2026-10-09.md; results/simulation-review-oct10-{control,move-over}/.</w:t>
      </w:r>
    </w:p>
    <w:p>
      <w:pPr>
        <w:pStyle w:val="ListBullet"/>
        <w:widowControl/>
        <w:spacing w:after="40" w:line="240" w:lineRule="auto"/>
      </w:pPr>
      <w:r>
        <w:rPr>
          <w:sz w:val="17"/>
        </w:rPr>
        <w:t>Exact AI-plan handoff: docs/lead-plan-diagnostic-2026-10-13.md; data/generated-plans/IN-26-03365-lead-draft-20261013-b/; results/lead-draft-diagnostic-oct13/ with original result, report, provenance and run logs.</w:t>
      </w:r>
    </w:p>
    <w:p>
      <w:pPr>
        <w:pStyle w:val="ListBullet"/>
        <w:widowControl/>
        <w:spacing w:after="40" w:line="240" w:lineRule="auto"/>
      </w:pPr>
      <w:r>
        <w:rPr>
          <w:sz w:val="17"/>
        </w:rPr>
        <w:t>Corrected P0: results/evaluator-rehearsal/runs/2026-05-15_ABD_P0_c50_t66_replay_rehearsal.json, its .provenance.json sidecar and matching evaluator/*.report.json. Scope and integration: docs/04-plan.md; docs/2026-10-11-evaluator-integration-review.md. Merged evaluator guardrails protect result identity but do not establish P0 acceptance.</w:t>
      </w:r>
    </w:p>
    <w:sectPr w:rsidR="00FC693F" w:rsidRPr="0006063C" w:rsidSect="00034616">
      <w:footerReference w:type="default" r:id="rId9"/>
      <w:pgSz w:w="11906" w:h="16838"/>
      <w:pgMar w:top="1191" w:right="1276" w:bottom="1049" w:left="1276"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Ripple  |  Component C  |  13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02B3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8405D"/>
      <w:sz w:val="28"/>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Display" w:hAnsi="Aptos Display"/>
      <w:b/>
      <w:bCs/>
      <w:color w:val="18405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122C41"/>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Component C Simulation and Validation Final Review</dc:title>
  <dc:subject>Evidence and claim boundaries for the provisional 16 October results freeze</dc:subject>
  <dc:creator>Ripple Simulation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