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PV GenerarTareasPeriodicas sch detallado contratos cancelados</w:t>
      </w:r>
    </w:p>
    <w:p>
      <w:pPr>
        <w:jc w:val="center"/>
      </w:pPr>
      <w:r>
        <w:rPr>
          <w:i/>
          <w:sz w:val="20"/>
        </w:rPr>
        <w:t>Version v3 | Contratos cancelados C02 y CC02 | Fecha: 2026-04-01</w:t>
      </w:r>
    </w:p>
    <w:p>
      <w:r>
        <w:rPr>
          <w:b/>
          <w:sz w:val="24"/>
        </w:rPr>
        <w:t>1. Relacion con la version final aprobada</w:t>
      </w:r>
    </w:p>
    <w:p>
      <w:r>
        <w:t>La asignacion regular de cadencias no cambia. El complemento v3 solo remueve cadencias activas cuando la cuenta queda sin contratos validos por C02 o CC02.</w:t>
      </w:r>
    </w:p>
    <w:p>
      <w:pPr>
        <w:pStyle w:val="ListBullet"/>
      </w:pPr>
      <w:r>
        <w:t>No hay reasignacion de cadencias por owner.</w:t>
      </w:r>
    </w:p>
    <w:p>
      <w:pPr>
        <w:pStyle w:val="ListBullet"/>
      </w:pPr>
      <w:r>
        <w:t>Si la cuenta sigue vigente, no se tocan las cadencias activas existentes.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