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Matriz ajustada</w:t>
      </w:r>
    </w:p>
    <w:p>
      <w:pPr>
        <w:jc w:val="center"/>
      </w:pPr>
      <w:r>
        <w:rPr>
          <w:i/>
          <w:sz w:val="20"/>
        </w:rPr>
        <w:t>Version acotada a contratos cancelados | Fecha: 2026-04-01</w:t>
      </w:r>
    </w:p>
    <w:p>
      <w:r>
        <w:rPr>
          <w:b/>
          <w:sz w:val="24"/>
        </w:rPr>
        <w:t>1. Matriz resumida del alcance final</w:t>
      </w:r>
    </w:p>
    <w:p>
      <w:pPr>
        <w:pStyle w:val="ListBullet"/>
      </w:pPr>
      <w:r>
        <w:t>PSTA_PostCargaPostventa_bch: consume ContractHistory.Status__c y reune cuentas impactadas.</w:t>
      </w:r>
    </w:p>
    <w:p>
      <w:pPr>
        <w:pStyle w:val="ListBullet"/>
      </w:pPr>
      <w:r>
        <w:t>PSTA_PostCargaPostventa_cls: limpia banderas de priorizacion, recalcula cuenta y prepara remocion de cadencias.</w:t>
      </w:r>
    </w:p>
    <w:p>
      <w:pPr>
        <w:pStyle w:val="ListBullet"/>
      </w:pPr>
      <w:r>
        <w:t>PSTA_PostCargaPostventaCadencias_qbl: remueve trackers Running cuando la cuenta sale de PostVenta.</w:t>
      </w:r>
    </w:p>
    <w:p>
      <w:pPr>
        <w:pStyle w:val="ListBullet"/>
      </w:pPr>
      <w:r>
        <w:t>PSTA_RegistroResumenGlobal_cls: recalcula Meta__c para asesores impactados.</w:t>
      </w:r>
    </w:p>
    <w:p>
      <w:pPr>
        <w:pStyle w:val="ListBullet"/>
      </w:pPr>
      <w:r>
        <w:t>PSTA_ReasignacionAsesorPostventa__c: presente en metadata, sin uso operativo en la version final.</w:t>
      </w:r>
    </w:p>
    <w:p>
      <w:r>
        <w:rPr>
          <w:b/>
          <w:sz w:val="24"/>
        </w:rPr>
        <w:t>2. Exclusiones expresas</w:t>
      </w:r>
    </w:p>
    <w:p>
      <w:pPr>
        <w:pStyle w:val="ListBullet"/>
      </w:pPr>
      <w:r>
        <w:t>Sin reasignacion de Task.</w:t>
      </w:r>
    </w:p>
    <w:p>
      <w:pPr>
        <w:pStyle w:val="ListBullet"/>
      </w:pPr>
      <w:r>
        <w:t>Sin reasignacion de Opportunity.</w:t>
      </w:r>
    </w:p>
    <w:p>
      <w:pPr>
        <w:pStyle w:val="ListBullet"/>
      </w:pPr>
      <w:r>
        <w:t>Sin reconciliacion de owner por cambio de asesor.</w:t>
      </w:r>
    </w:p>
    <w:p>
      <w:pPr>
        <w:pStyle w:val="ListBullet"/>
      </w:pPr>
      <w:r>
        <w:t>Sin consumo activo del objeto de cola de reasignacion.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