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Matriz ajustada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Matriz resumida del alcance final</w:t>
      </w:r>
    </w:p>
    <w:p>
      <w:pPr>
        <w:pStyle w:val="ListBullet"/>
      </w:pPr>
      <w:r>
        <w:t>PSTA_PostCargaPostventa_bch: consume ContractHistory.Status__c y filtra solo C02 y CC02.</w:t>
      </w:r>
    </w:p>
    <w:p>
      <w:pPr>
        <w:pStyle w:val="ListBullet"/>
      </w:pPr>
      <w:r>
        <w:t>PSTA_PostCargaPostventa_cls: limpia banderas de priorizacion, recalcula cuenta y prepara borrado de Task abiertas y Opportunity abiertas.</w:t>
      </w:r>
    </w:p>
    <w:p>
      <w:pPr>
        <w:pStyle w:val="ListBullet"/>
      </w:pPr>
      <w:r>
        <w:t>PSTA_PostCargaPostventaCadencias_qbl: remueve trackers Running cuando la cuenta sale de PostVenta.</w:t>
      </w:r>
    </w:p>
    <w:p>
      <w:pPr>
        <w:pStyle w:val="ListBullet"/>
      </w:pPr>
      <w:r>
        <w:t>PSTA_RegistroResumenGlobal_cls: recalcula Meta__c para asesores impactados.</w:t>
      </w:r>
    </w:p>
    <w:p>
      <w:pPr>
        <w:pStyle w:val="ListBullet"/>
      </w:pPr>
      <w:r>
        <w:t>PSTA_ReasignacionAsesorPostventa__c: presente en metadata, sin uso operativo en la version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