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3E9" w:rsidRDefault="005C36E3" w:rsidP="005C36E3">
      <w:pPr>
        <w:pStyle w:val="Title"/>
      </w:pPr>
      <w:r>
        <w:t xml:space="preserve">Sensitivity Testing </w:t>
      </w:r>
    </w:p>
    <w:p w:rsidR="00B07C22" w:rsidRDefault="00B07C22" w:rsidP="00B07C22">
      <w:pPr>
        <w:pStyle w:val="Heading1"/>
      </w:pPr>
      <w:r>
        <w:t>Abstract:</w:t>
      </w:r>
    </w:p>
    <w:p w:rsidR="00B07C22" w:rsidRDefault="00B07C22" w:rsidP="00B07C22">
      <w:pPr>
        <w:pStyle w:val="NoSpacing"/>
      </w:pPr>
      <w:r>
        <w:t xml:space="preserve">The objective of this paper is to highlight how the sensitivity test for macro-economic variables is done for CCAR Models. </w:t>
      </w:r>
      <w:r>
        <w:t>Sensitivity testing is performed on the final model specification in order to assess the model’s appropriateness for use in the CCAR submission.</w:t>
      </w:r>
      <w:r w:rsidRPr="00B07C22">
        <w:t xml:space="preserve"> </w:t>
      </w:r>
      <w:r>
        <w:t xml:space="preserve">Sensitivity test </w:t>
      </w:r>
      <w:r>
        <w:t xml:space="preserve">is </w:t>
      </w:r>
      <w:r>
        <w:t>performed on</w:t>
      </w:r>
      <w:r>
        <w:t xml:space="preserve"> </w:t>
      </w:r>
      <w:r>
        <w:t xml:space="preserve">default units and </w:t>
      </w:r>
      <w:r>
        <w:t xml:space="preserve">default </w:t>
      </w:r>
      <w:r>
        <w:t xml:space="preserve">exposure, GCL, and NCL forecasts. </w:t>
      </w:r>
    </w:p>
    <w:p w:rsidR="005C36E3" w:rsidRDefault="005C36E3" w:rsidP="005C36E3">
      <w:pPr>
        <w:pStyle w:val="Heading1"/>
      </w:pPr>
      <w:r>
        <w:t xml:space="preserve">What is Sensitivity? </w:t>
      </w:r>
    </w:p>
    <w:p w:rsidR="005C36E3" w:rsidRDefault="005C36E3" w:rsidP="005C36E3">
      <w:pPr>
        <w:pStyle w:val="NoSpacing"/>
      </w:pPr>
      <w:r>
        <w:t xml:space="preserve">Sensitivity testing is performed on the final model specification in order to assess the model’s appropriateness for use in the CCAR submission. </w:t>
      </w:r>
      <w:r w:rsidRPr="00B07C22">
        <w:rPr>
          <w:b/>
        </w:rPr>
        <w:t xml:space="preserve">Sensitivity tests are performed using the base, adverse, and severely adverse scenario. </w:t>
      </w:r>
      <w:r>
        <w:t xml:space="preserve">To measure the sensitivity of the Mortgage model, default units, default exposure, GCL, and NCL are forecasted using the various scenarios. </w:t>
      </w:r>
    </w:p>
    <w:p w:rsidR="005C36E3" w:rsidRDefault="005C36E3" w:rsidP="005C36E3">
      <w:pPr>
        <w:pStyle w:val="NoSpacing"/>
      </w:pPr>
    </w:p>
    <w:p w:rsidR="005C36E3" w:rsidRPr="005C36E3" w:rsidRDefault="005C36E3" w:rsidP="005C36E3">
      <w:pPr>
        <w:pStyle w:val="NoSpacing"/>
        <w:rPr>
          <w:b/>
          <w:sz w:val="18"/>
          <w:szCs w:val="18"/>
        </w:rPr>
      </w:pPr>
      <w:r w:rsidRPr="005C36E3">
        <w:rPr>
          <w:b/>
          <w:sz w:val="18"/>
          <w:szCs w:val="18"/>
        </w:rPr>
        <w:t xml:space="preserve">Formula 1: Formula to calculate the Sensitivity for Adverse and Severe Adverse Scenario for Default exposure: </w:t>
      </w:r>
    </w:p>
    <w:tbl>
      <w:tblPr>
        <w:tblStyle w:val="LightShading-Accent2"/>
        <w:tblW w:w="0" w:type="auto"/>
        <w:tblLook w:val="04A0" w:firstRow="1" w:lastRow="0" w:firstColumn="1" w:lastColumn="0" w:noHBand="0" w:noVBand="1"/>
      </w:tblPr>
      <w:tblGrid>
        <w:gridCol w:w="9576"/>
      </w:tblGrid>
      <w:tr w:rsidR="00BF6E38" w:rsidRPr="00BF6E38" w:rsidTr="00CC5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C36E3" w:rsidRPr="00BF6E38" w:rsidRDefault="005C36E3" w:rsidP="005C36E3">
            <w:pPr>
              <w:pStyle w:val="NoSpacing"/>
              <w:rPr>
                <w:color w:val="000000" w:themeColor="text1"/>
              </w:rPr>
            </w:pPr>
            <w:proofErr w:type="spellStart"/>
            <w:r w:rsidRPr="00BF6E38">
              <w:rPr>
                <w:color w:val="000000" w:themeColor="text1"/>
              </w:rPr>
              <w:t>Sensitivity_Adv</w:t>
            </w:r>
            <w:proofErr w:type="spellEnd"/>
            <w:r w:rsidRPr="00BF6E38">
              <w:rPr>
                <w:color w:val="000000" w:themeColor="text1"/>
              </w:rPr>
              <w:t xml:space="preserve">=  Default </w:t>
            </w:r>
            <w:proofErr w:type="spellStart"/>
            <w:r w:rsidRPr="00BF6E38">
              <w:rPr>
                <w:color w:val="000000" w:themeColor="text1"/>
              </w:rPr>
              <w:t>Exposure_Adv</w:t>
            </w:r>
            <w:proofErr w:type="spellEnd"/>
            <w:r w:rsidRPr="00BF6E38">
              <w:rPr>
                <w:color w:val="000000" w:themeColor="text1"/>
              </w:rPr>
              <w:t xml:space="preserve">/Default </w:t>
            </w:r>
            <w:proofErr w:type="spellStart"/>
            <w:r w:rsidRPr="00BF6E38">
              <w:rPr>
                <w:color w:val="000000" w:themeColor="text1"/>
              </w:rPr>
              <w:t>Exposure_Base</w:t>
            </w:r>
            <w:proofErr w:type="spellEnd"/>
            <w:r w:rsidRPr="00BF6E38">
              <w:rPr>
                <w:color w:val="000000" w:themeColor="text1"/>
              </w:rPr>
              <w:t xml:space="preserve"> </w:t>
            </w:r>
          </w:p>
          <w:p w:rsidR="005C36E3" w:rsidRPr="00BF6E38" w:rsidRDefault="005C36E3" w:rsidP="005C36E3">
            <w:pPr>
              <w:pStyle w:val="NoSpacing"/>
              <w:rPr>
                <w:color w:val="000000" w:themeColor="text1"/>
              </w:rPr>
            </w:pPr>
            <w:proofErr w:type="spellStart"/>
            <w:r w:rsidRPr="00BF6E38">
              <w:rPr>
                <w:color w:val="000000" w:themeColor="text1"/>
              </w:rPr>
              <w:t>Sensitivity_SevAdv</w:t>
            </w:r>
            <w:proofErr w:type="spellEnd"/>
            <w:r w:rsidRPr="00BF6E38">
              <w:rPr>
                <w:color w:val="000000" w:themeColor="text1"/>
              </w:rPr>
              <w:t xml:space="preserve">=  Default </w:t>
            </w:r>
            <w:proofErr w:type="spellStart"/>
            <w:r w:rsidRPr="00BF6E38">
              <w:rPr>
                <w:color w:val="000000" w:themeColor="text1"/>
              </w:rPr>
              <w:t>Exposure_SevAdv</w:t>
            </w:r>
            <w:proofErr w:type="spellEnd"/>
            <w:r w:rsidRPr="00BF6E38">
              <w:rPr>
                <w:color w:val="000000" w:themeColor="text1"/>
              </w:rPr>
              <w:t xml:space="preserve">/Default </w:t>
            </w:r>
            <w:proofErr w:type="spellStart"/>
            <w:r w:rsidRPr="00BF6E38">
              <w:rPr>
                <w:color w:val="000000" w:themeColor="text1"/>
              </w:rPr>
              <w:t>Exposure_Base</w:t>
            </w:r>
            <w:proofErr w:type="spellEnd"/>
          </w:p>
        </w:tc>
      </w:tr>
    </w:tbl>
    <w:p w:rsidR="005C36E3" w:rsidRDefault="003C5145" w:rsidP="003C5145">
      <w:pPr>
        <w:pStyle w:val="Heading1"/>
      </w:pPr>
      <w:r>
        <w:t xml:space="preserve">Types of Sensitivity Tests: </w:t>
      </w:r>
    </w:p>
    <w:p w:rsidR="003C5145" w:rsidRDefault="003C5145" w:rsidP="003C5145">
      <w:pPr>
        <w:pStyle w:val="NoSpacing"/>
      </w:pPr>
      <w:r>
        <w:t>The sensitivity of the model is evaluated through the following set of tests.</w:t>
      </w:r>
    </w:p>
    <w:p w:rsidR="00432076" w:rsidRDefault="00432076" w:rsidP="003C5145">
      <w:pPr>
        <w:pStyle w:val="NoSpacing"/>
      </w:pPr>
    </w:p>
    <w:p w:rsidR="00432076" w:rsidRPr="00B90DE0" w:rsidRDefault="00432076" w:rsidP="003C5145">
      <w:pPr>
        <w:pStyle w:val="NoSpacing"/>
        <w:rPr>
          <w:b/>
          <w:sz w:val="18"/>
          <w:szCs w:val="18"/>
        </w:rPr>
      </w:pPr>
      <w:r w:rsidRPr="00B90DE0">
        <w:rPr>
          <w:b/>
          <w:sz w:val="18"/>
          <w:szCs w:val="18"/>
        </w:rPr>
        <w:t xml:space="preserve">Table 1: </w:t>
      </w:r>
      <w:r w:rsidR="00B90DE0" w:rsidRPr="00B90DE0">
        <w:rPr>
          <w:b/>
          <w:sz w:val="18"/>
          <w:szCs w:val="18"/>
        </w:rPr>
        <w:t>Sensitivity Tests</w:t>
      </w:r>
    </w:p>
    <w:tbl>
      <w:tblPr>
        <w:tblStyle w:val="LightShading-Accent1"/>
        <w:tblW w:w="0" w:type="auto"/>
        <w:tblLook w:val="04A0" w:firstRow="1" w:lastRow="0" w:firstColumn="1" w:lastColumn="0" w:noHBand="0" w:noVBand="1"/>
      </w:tblPr>
      <w:tblGrid>
        <w:gridCol w:w="1915"/>
        <w:gridCol w:w="7661"/>
      </w:tblGrid>
      <w:tr w:rsidR="003C5145" w:rsidTr="00B90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C5145" w:rsidRPr="00B90DE0" w:rsidRDefault="00B90DE0" w:rsidP="003C5145">
            <w:pPr>
              <w:pStyle w:val="NoSpacing"/>
              <w:rPr>
                <w:color w:val="000000" w:themeColor="text1"/>
              </w:rPr>
            </w:pPr>
            <w:r w:rsidRPr="00B90DE0">
              <w:rPr>
                <w:color w:val="000000" w:themeColor="text1"/>
              </w:rPr>
              <w:t xml:space="preserve">Sensitivity Test </w:t>
            </w:r>
          </w:p>
        </w:tc>
        <w:tc>
          <w:tcPr>
            <w:tcW w:w="7661" w:type="dxa"/>
          </w:tcPr>
          <w:p w:rsidR="003C5145" w:rsidRPr="00B90DE0" w:rsidRDefault="00B90DE0" w:rsidP="003C5145">
            <w:pPr>
              <w:pStyle w:val="NoSpacing"/>
              <w:cnfStyle w:val="100000000000" w:firstRow="1" w:lastRow="0" w:firstColumn="0" w:lastColumn="0" w:oddVBand="0" w:evenVBand="0" w:oddHBand="0" w:evenHBand="0" w:firstRowFirstColumn="0" w:firstRowLastColumn="0" w:lastRowFirstColumn="0" w:lastRowLastColumn="0"/>
              <w:rPr>
                <w:color w:val="000000" w:themeColor="text1"/>
              </w:rPr>
            </w:pPr>
            <w:r w:rsidRPr="00B90DE0">
              <w:rPr>
                <w:color w:val="000000" w:themeColor="text1"/>
              </w:rPr>
              <w:t xml:space="preserve">Definition </w:t>
            </w:r>
          </w:p>
        </w:tc>
      </w:tr>
      <w:tr w:rsidR="00B90DE0" w:rsidTr="00B9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B90DE0" w:rsidP="00004E33">
            <w:pPr>
              <w:pStyle w:val="NoSpacing"/>
              <w:rPr>
                <w:color w:val="000000" w:themeColor="text1"/>
              </w:rPr>
            </w:pPr>
            <w:r w:rsidRPr="00B90DE0">
              <w:rPr>
                <w:color w:val="000000" w:themeColor="text1"/>
              </w:rPr>
              <w:t>ST1</w:t>
            </w:r>
          </w:p>
        </w:tc>
        <w:tc>
          <w:tcPr>
            <w:tcW w:w="7661" w:type="dxa"/>
          </w:tcPr>
          <w:p w:rsidR="00B90DE0" w:rsidRPr="00B90DE0" w:rsidRDefault="00B90DE0" w:rsidP="00004E33">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r w:rsidRPr="00B90DE0">
              <w:rPr>
                <w:color w:val="000000" w:themeColor="text1"/>
              </w:rPr>
              <w:t>Base scenario (reflecting production assumption of haircut)</w:t>
            </w:r>
          </w:p>
        </w:tc>
      </w:tr>
      <w:tr w:rsidR="00B90DE0" w:rsidTr="00B90DE0">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B90DE0" w:rsidP="003C5145">
            <w:pPr>
              <w:pStyle w:val="NoSpacing"/>
              <w:rPr>
                <w:color w:val="000000" w:themeColor="text1"/>
              </w:rPr>
            </w:pPr>
            <w:r w:rsidRPr="00B90DE0">
              <w:rPr>
                <w:color w:val="000000" w:themeColor="text1"/>
              </w:rPr>
              <w:t>ST2</w:t>
            </w:r>
          </w:p>
        </w:tc>
        <w:tc>
          <w:tcPr>
            <w:tcW w:w="7661" w:type="dxa"/>
          </w:tcPr>
          <w:p w:rsidR="00B90DE0" w:rsidRPr="00B90DE0" w:rsidRDefault="00B90DE0" w:rsidP="003C5145">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sidRPr="00B90DE0">
              <w:rPr>
                <w:color w:val="000000" w:themeColor="text1"/>
              </w:rPr>
              <w:t>Adverse scenario (reflecting production assumption of haircut)</w:t>
            </w:r>
          </w:p>
        </w:tc>
      </w:tr>
      <w:tr w:rsidR="00B90DE0" w:rsidTr="00B9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B90DE0" w:rsidP="003C5145">
            <w:pPr>
              <w:pStyle w:val="NoSpacing"/>
              <w:rPr>
                <w:color w:val="000000" w:themeColor="text1"/>
              </w:rPr>
            </w:pPr>
            <w:r w:rsidRPr="00B90DE0">
              <w:rPr>
                <w:color w:val="000000" w:themeColor="text1"/>
              </w:rPr>
              <w:t>ST3</w:t>
            </w:r>
          </w:p>
        </w:tc>
        <w:tc>
          <w:tcPr>
            <w:tcW w:w="7661" w:type="dxa"/>
          </w:tcPr>
          <w:p w:rsidR="00B90DE0" w:rsidRPr="00B90DE0" w:rsidRDefault="00B90DE0" w:rsidP="003C5145">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r w:rsidRPr="00B90DE0">
              <w:rPr>
                <w:color w:val="000000" w:themeColor="text1"/>
              </w:rPr>
              <w:t>Severely Adverse scenario (reflecting production assumption of haircut)</w:t>
            </w:r>
          </w:p>
        </w:tc>
      </w:tr>
      <w:tr w:rsidR="00B90DE0" w:rsidTr="00B90DE0">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B90DE0" w:rsidP="003C5145">
            <w:pPr>
              <w:pStyle w:val="NoSpacing"/>
              <w:rPr>
                <w:color w:val="000000" w:themeColor="text1"/>
              </w:rPr>
            </w:pPr>
            <w:r w:rsidRPr="00B90DE0">
              <w:rPr>
                <w:color w:val="000000" w:themeColor="text1"/>
              </w:rPr>
              <w:t>ST4</w:t>
            </w:r>
          </w:p>
        </w:tc>
        <w:tc>
          <w:tcPr>
            <w:tcW w:w="7661" w:type="dxa"/>
          </w:tcPr>
          <w:p w:rsidR="00B90DE0" w:rsidRPr="00B90DE0" w:rsidRDefault="00B90DE0" w:rsidP="003C5145">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sidRPr="00B90DE0">
              <w:rPr>
                <w:color w:val="000000" w:themeColor="text1"/>
              </w:rPr>
              <w:t>Univariate Sensitivity Test: Test the impact of each macro variable and non-model assumptions one at a time by applying the Severely Adverse scenario of one variable and using baseline scenario for other variables</w:t>
            </w:r>
          </w:p>
        </w:tc>
      </w:tr>
      <w:tr w:rsidR="00B90DE0" w:rsidTr="00B9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B90DE0" w:rsidP="003C5145">
            <w:pPr>
              <w:pStyle w:val="NoSpacing"/>
              <w:rPr>
                <w:color w:val="000000" w:themeColor="text1"/>
              </w:rPr>
            </w:pPr>
            <w:r w:rsidRPr="00B90DE0">
              <w:rPr>
                <w:color w:val="000000" w:themeColor="text1"/>
              </w:rPr>
              <w:t>ST5</w:t>
            </w:r>
          </w:p>
        </w:tc>
        <w:tc>
          <w:tcPr>
            <w:tcW w:w="7661" w:type="dxa"/>
          </w:tcPr>
          <w:p w:rsidR="00B90DE0" w:rsidRPr="00B90DE0" w:rsidRDefault="00B90DE0" w:rsidP="003C5145">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r w:rsidRPr="00B90DE0">
              <w:rPr>
                <w:color w:val="000000" w:themeColor="text1"/>
              </w:rPr>
              <w:t>Sensitivity of Haircut Distribution (Base scenario)</w:t>
            </w:r>
          </w:p>
        </w:tc>
      </w:tr>
    </w:tbl>
    <w:p w:rsidR="005C36E3" w:rsidRDefault="003C5145" w:rsidP="003C5145">
      <w:pPr>
        <w:pStyle w:val="Heading1"/>
      </w:pPr>
      <w:r>
        <w:t>How Sensitivity Test is performed</w:t>
      </w:r>
      <w:r w:rsidR="00CC5B22">
        <w:t xml:space="preserve"> (ST1-ST3)</w:t>
      </w:r>
      <w:r>
        <w:t xml:space="preserve">? </w:t>
      </w:r>
    </w:p>
    <w:p w:rsidR="003C5145" w:rsidRDefault="003C5145" w:rsidP="003C5145">
      <w:pPr>
        <w:pStyle w:val="NoSpacing"/>
      </w:pPr>
      <w:r>
        <w:t xml:space="preserve">Sensitivity test </w:t>
      </w:r>
      <w:r w:rsidR="00B07C22">
        <w:t>is p</w:t>
      </w:r>
      <w:r>
        <w:t xml:space="preserve">erformed on the PD components (default units and exposure), GCL, and NCL forecasts. </w:t>
      </w:r>
      <w:r w:rsidR="00B07C22" w:rsidRPr="00B07C22">
        <w:rPr>
          <w:b/>
        </w:rPr>
        <w:t xml:space="preserve">In the below, </w:t>
      </w:r>
      <w:r w:rsidRPr="00B07C22">
        <w:rPr>
          <w:b/>
        </w:rPr>
        <w:t xml:space="preserve">13 quarter forecasts of 180+ units, balance, GCL, and NCL under baseline and stress (adverse and severely adverse) macroeconomic scenarios are compared. </w:t>
      </w:r>
      <w:r>
        <w:t xml:space="preserve"> The forecast results based on the full sample estimates (ST1-ST3) are discussed below. </w:t>
      </w:r>
    </w:p>
    <w:p w:rsidR="00B07C22" w:rsidRDefault="00B07C22">
      <w:r>
        <w:br w:type="page"/>
      </w:r>
    </w:p>
    <w:p w:rsidR="003F5FF2" w:rsidRPr="003F5FF2" w:rsidRDefault="003F5FF2" w:rsidP="003C5145">
      <w:pPr>
        <w:pStyle w:val="NoSpacing"/>
        <w:rPr>
          <w:b/>
          <w:sz w:val="18"/>
          <w:szCs w:val="18"/>
        </w:rPr>
      </w:pPr>
      <w:r w:rsidRPr="003F5FF2">
        <w:rPr>
          <w:b/>
          <w:sz w:val="18"/>
          <w:szCs w:val="18"/>
        </w:rPr>
        <w:lastRenderedPageBreak/>
        <w:t xml:space="preserve">Table </w:t>
      </w:r>
      <w:r w:rsidR="00432076">
        <w:rPr>
          <w:b/>
          <w:sz w:val="18"/>
          <w:szCs w:val="18"/>
        </w:rPr>
        <w:t>2</w:t>
      </w:r>
      <w:r w:rsidRPr="003F5FF2">
        <w:rPr>
          <w:b/>
          <w:sz w:val="18"/>
          <w:szCs w:val="18"/>
        </w:rPr>
        <w:t xml:space="preserve">: Sensitivity for Adverse and Severe Adverse </w:t>
      </w:r>
    </w:p>
    <w:tbl>
      <w:tblPr>
        <w:tblStyle w:val="LightShading-Accent1"/>
        <w:tblW w:w="9660" w:type="dxa"/>
        <w:tblLook w:val="04A0" w:firstRow="1" w:lastRow="0" w:firstColumn="1" w:lastColumn="0" w:noHBand="0" w:noVBand="1"/>
      </w:tblPr>
      <w:tblGrid>
        <w:gridCol w:w="2760"/>
        <w:gridCol w:w="1380"/>
        <w:gridCol w:w="1380"/>
        <w:gridCol w:w="1380"/>
        <w:gridCol w:w="1380"/>
        <w:gridCol w:w="1380"/>
      </w:tblGrid>
      <w:tr w:rsidR="003F5FF2" w:rsidRPr="003F5FF2" w:rsidTr="003F5FF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0" w:type="dxa"/>
            <w:hideMark/>
          </w:tcPr>
          <w:p w:rsidR="003F5FF2" w:rsidRPr="003F5FF2" w:rsidRDefault="003F5FF2" w:rsidP="003F5FF2">
            <w:pPr>
              <w:jc w:val="center"/>
              <w:rPr>
                <w:rFonts w:ascii="Calibri" w:eastAsia="Times New Roman" w:hAnsi="Calibri" w:cs="Calibri"/>
                <w:color w:val="000000" w:themeColor="text1"/>
                <w:sz w:val="20"/>
                <w:szCs w:val="20"/>
              </w:rPr>
            </w:pPr>
            <w:r w:rsidRPr="003F5FF2">
              <w:rPr>
                <w:rFonts w:ascii="Calibri" w:eastAsia="Times New Roman" w:hAnsi="Calibri" w:cs="Calibri"/>
                <w:color w:val="000000" w:themeColor="text1"/>
                <w:sz w:val="20"/>
                <w:szCs w:val="20"/>
              </w:rPr>
              <w:t>Population  </w:t>
            </w:r>
          </w:p>
        </w:tc>
        <w:tc>
          <w:tcPr>
            <w:tcW w:w="1380" w:type="dxa"/>
            <w:hideMark/>
          </w:tcPr>
          <w:p w:rsidR="003F5FF2" w:rsidRPr="003F5FF2" w:rsidRDefault="003F5FF2" w:rsidP="003F5FF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3F5FF2">
              <w:rPr>
                <w:rFonts w:ascii="Calibri" w:eastAsia="Times New Roman" w:hAnsi="Calibri" w:cs="Calibri"/>
                <w:color w:val="000000" w:themeColor="text1"/>
                <w:sz w:val="20"/>
                <w:szCs w:val="20"/>
              </w:rPr>
              <w:t>Base</w:t>
            </w:r>
          </w:p>
        </w:tc>
        <w:tc>
          <w:tcPr>
            <w:tcW w:w="1380" w:type="dxa"/>
            <w:hideMark/>
          </w:tcPr>
          <w:p w:rsidR="003F5FF2" w:rsidRPr="003F5FF2" w:rsidRDefault="003F5FF2" w:rsidP="003F5FF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3F5FF2">
              <w:rPr>
                <w:rFonts w:ascii="Calibri" w:eastAsia="Times New Roman" w:hAnsi="Calibri" w:cs="Calibri"/>
                <w:color w:val="000000" w:themeColor="text1"/>
                <w:sz w:val="20"/>
                <w:szCs w:val="20"/>
              </w:rPr>
              <w:t>Adverse</w:t>
            </w:r>
          </w:p>
        </w:tc>
        <w:tc>
          <w:tcPr>
            <w:tcW w:w="1380" w:type="dxa"/>
            <w:hideMark/>
          </w:tcPr>
          <w:p w:rsidR="003F5FF2" w:rsidRPr="003F5FF2" w:rsidRDefault="003F5FF2" w:rsidP="003F5FF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3F5FF2">
              <w:rPr>
                <w:rFonts w:ascii="Calibri" w:eastAsia="Times New Roman" w:hAnsi="Calibri" w:cs="Calibri"/>
                <w:color w:val="000000" w:themeColor="text1"/>
                <w:sz w:val="20"/>
                <w:szCs w:val="20"/>
              </w:rPr>
              <w:t>Severely Adverse</w:t>
            </w:r>
          </w:p>
        </w:tc>
        <w:tc>
          <w:tcPr>
            <w:tcW w:w="1380" w:type="dxa"/>
            <w:hideMark/>
          </w:tcPr>
          <w:p w:rsidR="003F5FF2" w:rsidRPr="003F5FF2" w:rsidRDefault="003F5FF2" w:rsidP="003F5FF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 xml:space="preserve">Sensitivity: </w:t>
            </w:r>
            <w:r w:rsidRPr="003F5FF2">
              <w:rPr>
                <w:rFonts w:ascii="Calibri" w:eastAsia="Times New Roman" w:hAnsi="Calibri" w:cs="Calibri"/>
                <w:color w:val="000000" w:themeColor="text1"/>
                <w:sz w:val="20"/>
                <w:szCs w:val="20"/>
              </w:rPr>
              <w:t>Adverse</w:t>
            </w:r>
          </w:p>
        </w:tc>
        <w:tc>
          <w:tcPr>
            <w:tcW w:w="1380" w:type="dxa"/>
            <w:hideMark/>
          </w:tcPr>
          <w:p w:rsidR="003F5FF2" w:rsidRDefault="003F5FF2" w:rsidP="003F5FF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Pr>
                <w:rFonts w:ascii="Calibri" w:eastAsia="Times New Roman" w:hAnsi="Calibri" w:cs="Calibri"/>
                <w:color w:val="000000" w:themeColor="text1"/>
                <w:sz w:val="20"/>
                <w:szCs w:val="20"/>
              </w:rPr>
              <w:t xml:space="preserve">Sensitivity: </w:t>
            </w:r>
          </w:p>
          <w:p w:rsidR="003F5FF2" w:rsidRPr="003F5FF2" w:rsidRDefault="003F5FF2" w:rsidP="003F5FF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3F5FF2">
              <w:rPr>
                <w:rFonts w:ascii="Calibri" w:eastAsia="Times New Roman" w:hAnsi="Calibri" w:cs="Calibri"/>
                <w:color w:val="000000" w:themeColor="text1"/>
                <w:sz w:val="20"/>
                <w:szCs w:val="20"/>
              </w:rPr>
              <w:t>Severely Adverse</w:t>
            </w:r>
          </w:p>
        </w:tc>
      </w:tr>
      <w:tr w:rsidR="003F5FF2" w:rsidRPr="003F5FF2" w:rsidTr="003F5F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rsidR="003F5FF2" w:rsidRPr="003F5FF2" w:rsidRDefault="003F5FF2" w:rsidP="003F5FF2">
            <w:pPr>
              <w:jc w:val="center"/>
              <w:rPr>
                <w:rFonts w:ascii="Calibri" w:eastAsia="Times New Roman" w:hAnsi="Calibri" w:cs="Calibri"/>
                <w:color w:val="000000"/>
                <w:sz w:val="20"/>
                <w:szCs w:val="20"/>
              </w:rPr>
            </w:pPr>
            <w:r w:rsidRPr="003F5FF2">
              <w:rPr>
                <w:rFonts w:ascii="Calibri" w:eastAsia="Times New Roman" w:hAnsi="Calibri" w:cs="Calibri"/>
                <w:color w:val="000000"/>
                <w:sz w:val="20"/>
                <w:szCs w:val="20"/>
              </w:rPr>
              <w:t>Default Units ('000)</w:t>
            </w:r>
          </w:p>
        </w:tc>
        <w:tc>
          <w:tcPr>
            <w:tcW w:w="1380" w:type="dxa"/>
            <w:noWrap/>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7.00</w:t>
            </w:r>
          </w:p>
        </w:tc>
        <w:tc>
          <w:tcPr>
            <w:tcW w:w="1380" w:type="dxa"/>
            <w:noWrap/>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13.00</w:t>
            </w:r>
          </w:p>
        </w:tc>
        <w:tc>
          <w:tcPr>
            <w:tcW w:w="1380" w:type="dxa"/>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15.00</w:t>
            </w:r>
          </w:p>
        </w:tc>
        <w:tc>
          <w:tcPr>
            <w:tcW w:w="1380" w:type="dxa"/>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1.86</w:t>
            </w:r>
          </w:p>
        </w:tc>
        <w:tc>
          <w:tcPr>
            <w:tcW w:w="1380" w:type="dxa"/>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2.14</w:t>
            </w:r>
          </w:p>
        </w:tc>
      </w:tr>
      <w:tr w:rsidR="003F5FF2" w:rsidRPr="003F5FF2" w:rsidTr="003F5FF2">
        <w:trPr>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rsidR="003F5FF2" w:rsidRPr="003F5FF2" w:rsidRDefault="003F5FF2" w:rsidP="003F5FF2">
            <w:pPr>
              <w:jc w:val="center"/>
              <w:rPr>
                <w:rFonts w:ascii="Calibri" w:eastAsia="Times New Roman" w:hAnsi="Calibri" w:cs="Calibri"/>
                <w:color w:val="000000"/>
                <w:sz w:val="20"/>
                <w:szCs w:val="20"/>
              </w:rPr>
            </w:pPr>
            <w:r w:rsidRPr="003F5FF2">
              <w:rPr>
                <w:rFonts w:ascii="Calibri" w:eastAsia="Times New Roman" w:hAnsi="Calibri" w:cs="Calibri"/>
                <w:color w:val="000000"/>
                <w:sz w:val="20"/>
                <w:szCs w:val="20"/>
              </w:rPr>
              <w:t>Default Exposure ($M)</w:t>
            </w:r>
          </w:p>
        </w:tc>
        <w:tc>
          <w:tcPr>
            <w:tcW w:w="1380" w:type="dxa"/>
            <w:noWrap/>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120.00</w:t>
            </w:r>
          </w:p>
        </w:tc>
        <w:tc>
          <w:tcPr>
            <w:tcW w:w="1380" w:type="dxa"/>
            <w:noWrap/>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200.00</w:t>
            </w:r>
          </w:p>
        </w:tc>
        <w:tc>
          <w:tcPr>
            <w:tcW w:w="1380" w:type="dxa"/>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250.00</w:t>
            </w:r>
          </w:p>
        </w:tc>
        <w:tc>
          <w:tcPr>
            <w:tcW w:w="1380" w:type="dxa"/>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1.67</w:t>
            </w:r>
          </w:p>
        </w:tc>
        <w:tc>
          <w:tcPr>
            <w:tcW w:w="1380" w:type="dxa"/>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2.08</w:t>
            </w:r>
          </w:p>
        </w:tc>
      </w:tr>
      <w:tr w:rsidR="003F5FF2" w:rsidRPr="003F5FF2" w:rsidTr="003F5F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rsidR="003F5FF2" w:rsidRPr="003F5FF2" w:rsidRDefault="003F5FF2" w:rsidP="003F5FF2">
            <w:pPr>
              <w:jc w:val="center"/>
              <w:rPr>
                <w:rFonts w:ascii="Calibri" w:eastAsia="Times New Roman" w:hAnsi="Calibri" w:cs="Calibri"/>
                <w:color w:val="000000"/>
                <w:sz w:val="20"/>
                <w:szCs w:val="20"/>
              </w:rPr>
            </w:pPr>
            <w:r w:rsidRPr="003F5FF2">
              <w:rPr>
                <w:rFonts w:ascii="Calibri" w:eastAsia="Times New Roman" w:hAnsi="Calibri" w:cs="Calibri"/>
                <w:color w:val="000000"/>
                <w:sz w:val="20"/>
                <w:szCs w:val="20"/>
              </w:rPr>
              <w:t>GCL ($M)</w:t>
            </w:r>
          </w:p>
        </w:tc>
        <w:tc>
          <w:tcPr>
            <w:tcW w:w="1380" w:type="dxa"/>
            <w:noWrap/>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5.00</w:t>
            </w:r>
          </w:p>
        </w:tc>
        <w:tc>
          <w:tcPr>
            <w:tcW w:w="1380" w:type="dxa"/>
            <w:noWrap/>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25.00</w:t>
            </w:r>
          </w:p>
        </w:tc>
        <w:tc>
          <w:tcPr>
            <w:tcW w:w="1380" w:type="dxa"/>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50.00</w:t>
            </w:r>
          </w:p>
        </w:tc>
        <w:tc>
          <w:tcPr>
            <w:tcW w:w="1380" w:type="dxa"/>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5.00</w:t>
            </w:r>
          </w:p>
        </w:tc>
        <w:tc>
          <w:tcPr>
            <w:tcW w:w="1380" w:type="dxa"/>
            <w:hideMark/>
          </w:tcPr>
          <w:p w:rsidR="003F5FF2" w:rsidRPr="003F5FF2" w:rsidRDefault="003F5FF2" w:rsidP="003F5FF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10.00</w:t>
            </w:r>
          </w:p>
        </w:tc>
      </w:tr>
      <w:tr w:rsidR="003F5FF2" w:rsidRPr="003F5FF2" w:rsidTr="003F5FF2">
        <w:trPr>
          <w:trHeight w:val="300"/>
        </w:trPr>
        <w:tc>
          <w:tcPr>
            <w:cnfStyle w:val="001000000000" w:firstRow="0" w:lastRow="0" w:firstColumn="1" w:lastColumn="0" w:oddVBand="0" w:evenVBand="0" w:oddHBand="0" w:evenHBand="0" w:firstRowFirstColumn="0" w:firstRowLastColumn="0" w:lastRowFirstColumn="0" w:lastRowLastColumn="0"/>
            <w:tcW w:w="2760" w:type="dxa"/>
            <w:noWrap/>
            <w:hideMark/>
          </w:tcPr>
          <w:p w:rsidR="003F5FF2" w:rsidRPr="003F5FF2" w:rsidRDefault="003F5FF2" w:rsidP="003F5FF2">
            <w:pPr>
              <w:jc w:val="center"/>
              <w:rPr>
                <w:rFonts w:ascii="Calibri" w:eastAsia="Times New Roman" w:hAnsi="Calibri" w:cs="Calibri"/>
                <w:color w:val="000000"/>
                <w:sz w:val="20"/>
                <w:szCs w:val="20"/>
              </w:rPr>
            </w:pPr>
            <w:r w:rsidRPr="003F5FF2">
              <w:rPr>
                <w:rFonts w:ascii="Calibri" w:eastAsia="Times New Roman" w:hAnsi="Calibri" w:cs="Calibri"/>
                <w:color w:val="000000"/>
                <w:sz w:val="20"/>
                <w:szCs w:val="20"/>
              </w:rPr>
              <w:t>NCL ($M)</w:t>
            </w:r>
          </w:p>
        </w:tc>
        <w:tc>
          <w:tcPr>
            <w:tcW w:w="1380" w:type="dxa"/>
            <w:noWrap/>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3.00</w:t>
            </w:r>
          </w:p>
        </w:tc>
        <w:tc>
          <w:tcPr>
            <w:tcW w:w="1380" w:type="dxa"/>
            <w:noWrap/>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20.00</w:t>
            </w:r>
          </w:p>
        </w:tc>
        <w:tc>
          <w:tcPr>
            <w:tcW w:w="1380" w:type="dxa"/>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40.00</w:t>
            </w:r>
          </w:p>
        </w:tc>
        <w:tc>
          <w:tcPr>
            <w:tcW w:w="1380" w:type="dxa"/>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6.67</w:t>
            </w:r>
          </w:p>
        </w:tc>
        <w:tc>
          <w:tcPr>
            <w:tcW w:w="1380" w:type="dxa"/>
            <w:hideMark/>
          </w:tcPr>
          <w:p w:rsidR="003F5FF2" w:rsidRPr="003F5FF2" w:rsidRDefault="003F5FF2" w:rsidP="003F5FF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3F5FF2">
              <w:rPr>
                <w:rFonts w:ascii="Calibri" w:eastAsia="Times New Roman" w:hAnsi="Calibri" w:cs="Calibri"/>
                <w:color w:val="000000"/>
                <w:sz w:val="20"/>
                <w:szCs w:val="20"/>
              </w:rPr>
              <w:t>13.33</w:t>
            </w:r>
          </w:p>
        </w:tc>
      </w:tr>
    </w:tbl>
    <w:p w:rsidR="003C5145" w:rsidRDefault="003C5145" w:rsidP="003C5145">
      <w:pPr>
        <w:pStyle w:val="NoSpacing"/>
      </w:pPr>
    </w:p>
    <w:p w:rsidR="003C5145" w:rsidRDefault="003F5FF2" w:rsidP="003C5145">
      <w:pPr>
        <w:pStyle w:val="NoSpacing"/>
      </w:pPr>
      <w:r w:rsidRPr="003F5FF2">
        <w:rPr>
          <w:b/>
        </w:rPr>
        <w:t xml:space="preserve">Explanation of the results: </w:t>
      </w:r>
      <w:r w:rsidR="003C5145">
        <w:t>The model shows sufficient loss separation between base and severely adverse scenarios over the 13-quarter forecast period</w:t>
      </w:r>
      <w:r>
        <w:t>.</w:t>
      </w:r>
      <w:r w:rsidR="003C5145" w:rsidRPr="00B07C22">
        <w:rPr>
          <w:b/>
        </w:rPr>
        <w:t xml:space="preserve"> </w:t>
      </w:r>
      <w:r w:rsidRPr="00B07C22">
        <w:rPr>
          <w:b/>
        </w:rPr>
        <w:t xml:space="preserve">As observed from the result of the sensitivity tests above, the model is very sensitive to macro-economic changes. The model forecasts approximately 2 times higher default units and balance for the cumulative 13Q adverse scenario compared to the baseline scenario. </w:t>
      </w:r>
      <w:r w:rsidRPr="003F5FF2">
        <w:t xml:space="preserve"> For GCL and NCL, the model forecasts approximately 5 times and 6 times higher charge offs under the adverse scenario as compared to baseline forecast, respectively. The model forecasts higher units, balances, GCL, and NCLs under the severely adverse scenario compared to the base scenario with 2 times higher unit forecast and 3 times higher balance forecast. </w:t>
      </w:r>
    </w:p>
    <w:p w:rsidR="003F5FF2" w:rsidRDefault="003F5FF2" w:rsidP="003C5145">
      <w:pPr>
        <w:pStyle w:val="NoSpacing"/>
      </w:pPr>
    </w:p>
    <w:p w:rsidR="003F5FF2" w:rsidRPr="00B07C22" w:rsidRDefault="00432076" w:rsidP="003C5145">
      <w:pPr>
        <w:pStyle w:val="NoSpacing"/>
        <w:rPr>
          <w:b/>
        </w:rPr>
      </w:pPr>
      <w:r w:rsidRPr="00432076">
        <w:rPr>
          <w:b/>
        </w:rPr>
        <w:t xml:space="preserve">Graphical representation of the results (defaults units): </w:t>
      </w:r>
      <w:r w:rsidR="00484F0F" w:rsidRPr="00484F0F">
        <w:t>The following charts display the marginal and cumulative forecast scenario curv</w:t>
      </w:r>
      <w:r w:rsidR="00484F0F">
        <w:t>es for default units</w:t>
      </w:r>
      <w:r w:rsidR="00484F0F" w:rsidRPr="00484F0F">
        <w:t>.</w:t>
      </w:r>
      <w:r w:rsidRPr="00432076">
        <w:t xml:space="preserve"> The charts provide a visual representation of the model’s separation across scenarios over the forecast horizon.</w:t>
      </w:r>
      <w:r w:rsidRPr="00B07C22">
        <w:rPr>
          <w:b/>
        </w:rPr>
        <w:t xml:space="preserve"> The rank ordering of the forecasts are as expected over the 13-quarter period, i.e., severely adverse results are more severe than adverse and baseline results.</w:t>
      </w:r>
    </w:p>
    <w:p w:rsidR="00484F0F" w:rsidRDefault="00484F0F" w:rsidP="003C5145">
      <w:pPr>
        <w:pStyle w:val="NoSpacing"/>
      </w:pPr>
    </w:p>
    <w:p w:rsidR="00447AC4" w:rsidRPr="00135010" w:rsidRDefault="00135010" w:rsidP="003C5145">
      <w:pPr>
        <w:pStyle w:val="NoSpacing"/>
        <w:rPr>
          <w:b/>
          <w:sz w:val="18"/>
          <w:szCs w:val="18"/>
        </w:rPr>
      </w:pPr>
      <w:r w:rsidRPr="003F5FF2">
        <w:rPr>
          <w:b/>
          <w:sz w:val="18"/>
          <w:szCs w:val="18"/>
        </w:rPr>
        <w:t xml:space="preserve">Table </w:t>
      </w:r>
      <w:r>
        <w:rPr>
          <w:b/>
          <w:sz w:val="18"/>
          <w:szCs w:val="18"/>
        </w:rPr>
        <w:t>3</w:t>
      </w:r>
      <w:r w:rsidRPr="003F5FF2">
        <w:rPr>
          <w:b/>
          <w:sz w:val="18"/>
          <w:szCs w:val="18"/>
        </w:rPr>
        <w:t xml:space="preserve">: Sensitivity for Adverse and Severe Adverse </w:t>
      </w:r>
    </w:p>
    <w:tbl>
      <w:tblPr>
        <w:tblStyle w:val="LightShading-Accent1"/>
        <w:tblW w:w="9667" w:type="dxa"/>
        <w:tblLook w:val="04A0" w:firstRow="1" w:lastRow="0" w:firstColumn="1" w:lastColumn="0" w:noHBand="0" w:noVBand="1"/>
      </w:tblPr>
      <w:tblGrid>
        <w:gridCol w:w="1381"/>
        <w:gridCol w:w="1381"/>
        <w:gridCol w:w="1381"/>
        <w:gridCol w:w="1381"/>
        <w:gridCol w:w="1381"/>
        <w:gridCol w:w="1381"/>
        <w:gridCol w:w="1381"/>
      </w:tblGrid>
      <w:tr w:rsidR="00447AC4" w:rsidRPr="00447AC4" w:rsidTr="00447AC4">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p>
        </w:tc>
        <w:tc>
          <w:tcPr>
            <w:tcW w:w="1381" w:type="dxa"/>
            <w:hideMark/>
          </w:tcPr>
          <w:p w:rsidR="00135010" w:rsidRDefault="00447AC4" w:rsidP="00447AC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0"/>
                <w:szCs w:val="20"/>
              </w:rPr>
            </w:pPr>
            <w:r w:rsidRPr="00447AC4">
              <w:rPr>
                <w:rFonts w:eastAsia="Times New Roman" w:cstheme="minorHAnsi"/>
                <w:color w:val="000000"/>
                <w:sz w:val="20"/>
                <w:szCs w:val="20"/>
              </w:rPr>
              <w:t>Base</w:t>
            </w:r>
          </w:p>
          <w:p w:rsidR="00447AC4" w:rsidRPr="00135010" w:rsidRDefault="00447AC4" w:rsidP="0013501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81" w:type="dxa"/>
            <w:hideMark/>
          </w:tcPr>
          <w:p w:rsidR="00447AC4" w:rsidRPr="00447AC4" w:rsidRDefault="00447AC4" w:rsidP="00447AC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Adverse</w:t>
            </w:r>
          </w:p>
        </w:tc>
        <w:tc>
          <w:tcPr>
            <w:tcW w:w="1381" w:type="dxa"/>
            <w:hideMark/>
          </w:tcPr>
          <w:p w:rsidR="00447AC4" w:rsidRPr="00447AC4" w:rsidRDefault="00447AC4" w:rsidP="00447AC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Severely Adverse</w:t>
            </w:r>
          </w:p>
        </w:tc>
        <w:tc>
          <w:tcPr>
            <w:tcW w:w="1381" w:type="dxa"/>
            <w:hideMark/>
          </w:tcPr>
          <w:p w:rsidR="00447AC4" w:rsidRPr="00447AC4" w:rsidRDefault="00135010" w:rsidP="00447AC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Pr>
                <w:rFonts w:eastAsia="Times New Roman" w:cstheme="minorHAnsi"/>
                <w:color w:val="000000"/>
                <w:sz w:val="20"/>
                <w:szCs w:val="20"/>
              </w:rPr>
              <w:t>Cumm</w:t>
            </w:r>
            <w:proofErr w:type="spellEnd"/>
            <w:r>
              <w:rPr>
                <w:rFonts w:eastAsia="Times New Roman" w:cstheme="minorHAnsi"/>
                <w:color w:val="000000"/>
                <w:sz w:val="20"/>
                <w:szCs w:val="20"/>
              </w:rPr>
              <w:t xml:space="preserve">. </w:t>
            </w:r>
            <w:r w:rsidR="00447AC4" w:rsidRPr="00447AC4">
              <w:rPr>
                <w:rFonts w:eastAsia="Times New Roman" w:cstheme="minorHAnsi"/>
                <w:color w:val="000000"/>
                <w:sz w:val="20"/>
                <w:szCs w:val="20"/>
              </w:rPr>
              <w:t>Base</w:t>
            </w:r>
          </w:p>
        </w:tc>
        <w:tc>
          <w:tcPr>
            <w:tcW w:w="1381" w:type="dxa"/>
            <w:hideMark/>
          </w:tcPr>
          <w:p w:rsidR="00447AC4" w:rsidRPr="00447AC4" w:rsidRDefault="00135010" w:rsidP="00447AC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Pr>
                <w:rFonts w:eastAsia="Times New Roman" w:cstheme="minorHAnsi"/>
                <w:color w:val="000000"/>
                <w:sz w:val="20"/>
                <w:szCs w:val="20"/>
              </w:rPr>
              <w:t>Cumm</w:t>
            </w:r>
            <w:proofErr w:type="spellEnd"/>
            <w:r>
              <w:rPr>
                <w:rFonts w:eastAsia="Times New Roman" w:cstheme="minorHAnsi"/>
                <w:color w:val="000000"/>
                <w:sz w:val="20"/>
                <w:szCs w:val="20"/>
              </w:rPr>
              <w:t xml:space="preserve">. </w:t>
            </w:r>
            <w:r w:rsidR="00447AC4" w:rsidRPr="00447AC4">
              <w:rPr>
                <w:rFonts w:eastAsia="Times New Roman" w:cstheme="minorHAnsi"/>
                <w:color w:val="000000"/>
                <w:sz w:val="20"/>
                <w:szCs w:val="20"/>
              </w:rPr>
              <w:t>Adverse</w:t>
            </w:r>
          </w:p>
        </w:tc>
        <w:tc>
          <w:tcPr>
            <w:tcW w:w="1381" w:type="dxa"/>
            <w:hideMark/>
          </w:tcPr>
          <w:p w:rsidR="00447AC4" w:rsidRPr="00447AC4" w:rsidRDefault="00135010" w:rsidP="00447AC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rPr>
            </w:pPr>
            <w:proofErr w:type="spellStart"/>
            <w:r>
              <w:rPr>
                <w:rFonts w:eastAsia="Times New Roman" w:cstheme="minorHAnsi"/>
                <w:color w:val="000000"/>
                <w:sz w:val="20"/>
                <w:szCs w:val="20"/>
              </w:rPr>
              <w:t>Cumm</w:t>
            </w:r>
            <w:proofErr w:type="spellEnd"/>
            <w:r>
              <w:rPr>
                <w:rFonts w:eastAsia="Times New Roman" w:cstheme="minorHAnsi"/>
                <w:color w:val="000000"/>
                <w:sz w:val="20"/>
                <w:szCs w:val="20"/>
              </w:rPr>
              <w:t xml:space="preserve">. </w:t>
            </w:r>
            <w:r w:rsidR="00447AC4" w:rsidRPr="00447AC4">
              <w:rPr>
                <w:rFonts w:eastAsia="Times New Roman" w:cstheme="minorHAnsi"/>
                <w:color w:val="000000"/>
                <w:sz w:val="20"/>
                <w:szCs w:val="20"/>
              </w:rPr>
              <w:t>Severely Adverse</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Q1</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Q2</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0.8</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0.9</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1.3</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1.4</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Q3</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1.1</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2.3</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2.5</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Q4</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1.1</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2</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3.3</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3.6</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0.6</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1.2</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1.3</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2.6</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4.5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4.9</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Q6</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0.6</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1.2</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3.2</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5.7</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6.4</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Q7</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0.7</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1.4</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1.6</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3.9</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7.1</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8</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Q8</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0.6</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1.2</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4.5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8.3</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9.5</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Q9</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1.2</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1.4</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5</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9.5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10.9</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Q10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1.3</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5.5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10.5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12.2</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Q11</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1.1</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6</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11.5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13.3</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Q12</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0.8</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0.9</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6.5</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12.3</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14.2</w:t>
            </w:r>
          </w:p>
        </w:tc>
      </w:tr>
      <w:tr w:rsidR="00447AC4" w:rsidRPr="00447AC4" w:rsidTr="00447AC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Q13</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0.5</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0.7</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0.8</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7</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13</w:t>
            </w:r>
            <w:r w:rsidR="00135010">
              <w:rPr>
                <w:rFonts w:eastAsia="Times New Roman" w:cstheme="minorHAnsi"/>
                <w:color w:val="000000"/>
                <w:sz w:val="20"/>
                <w:szCs w:val="20"/>
              </w:rPr>
              <w:t>.0</w:t>
            </w:r>
          </w:p>
        </w:tc>
        <w:tc>
          <w:tcPr>
            <w:tcW w:w="1381" w:type="dxa"/>
            <w:noWrap/>
            <w:hideMark/>
          </w:tcPr>
          <w:p w:rsidR="00447AC4" w:rsidRPr="00447AC4" w:rsidRDefault="00447AC4" w:rsidP="00447AC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447AC4">
              <w:rPr>
                <w:rFonts w:eastAsia="Times New Roman" w:cstheme="minorHAnsi"/>
                <w:color w:val="000000"/>
                <w:sz w:val="20"/>
                <w:szCs w:val="20"/>
              </w:rPr>
              <w:t>15</w:t>
            </w:r>
            <w:r w:rsidR="00135010">
              <w:rPr>
                <w:rFonts w:eastAsia="Times New Roman" w:cstheme="minorHAnsi"/>
                <w:color w:val="000000"/>
                <w:sz w:val="20"/>
                <w:szCs w:val="20"/>
              </w:rPr>
              <w:t>.0</w:t>
            </w:r>
          </w:p>
        </w:tc>
      </w:tr>
      <w:tr w:rsidR="00447AC4" w:rsidRPr="00447AC4" w:rsidTr="00447AC4">
        <w:trPr>
          <w:trHeight w:val="258"/>
        </w:trPr>
        <w:tc>
          <w:tcPr>
            <w:cnfStyle w:val="001000000000" w:firstRow="0" w:lastRow="0" w:firstColumn="1" w:lastColumn="0" w:oddVBand="0" w:evenVBand="0" w:oddHBand="0" w:evenHBand="0" w:firstRowFirstColumn="0" w:firstRowLastColumn="0" w:lastRowFirstColumn="0" w:lastRowLastColumn="0"/>
            <w:tcW w:w="1381" w:type="dxa"/>
            <w:noWrap/>
            <w:hideMark/>
          </w:tcPr>
          <w:p w:rsidR="00447AC4" w:rsidRPr="00447AC4" w:rsidRDefault="00447AC4" w:rsidP="00447AC4">
            <w:pPr>
              <w:rPr>
                <w:rFonts w:eastAsia="Times New Roman" w:cstheme="minorHAnsi"/>
                <w:color w:val="000000"/>
                <w:sz w:val="20"/>
                <w:szCs w:val="20"/>
              </w:rPr>
            </w:pPr>
            <w:r w:rsidRPr="00447AC4">
              <w:rPr>
                <w:rFonts w:eastAsia="Times New Roman" w:cstheme="minorHAnsi"/>
                <w:color w:val="000000"/>
                <w:sz w:val="20"/>
                <w:szCs w:val="20"/>
              </w:rPr>
              <w:t xml:space="preserve">Total </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r w:rsidRPr="00447AC4">
              <w:rPr>
                <w:rFonts w:eastAsia="Times New Roman" w:cstheme="minorHAnsi"/>
                <w:b/>
                <w:color w:val="000000"/>
                <w:sz w:val="20"/>
                <w:szCs w:val="20"/>
              </w:rPr>
              <w:t>7</w:t>
            </w:r>
            <w:r w:rsidR="00135010">
              <w:rPr>
                <w:rFonts w:eastAsia="Times New Roman" w:cstheme="minorHAnsi"/>
                <w:b/>
                <w:color w:val="000000"/>
                <w:sz w:val="20"/>
                <w:szCs w:val="20"/>
              </w:rPr>
              <w:t>.0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r w:rsidRPr="00447AC4">
              <w:rPr>
                <w:rFonts w:eastAsia="Times New Roman" w:cstheme="minorHAnsi"/>
                <w:b/>
                <w:color w:val="000000"/>
                <w:sz w:val="20"/>
                <w:szCs w:val="20"/>
              </w:rPr>
              <w:t>13</w:t>
            </w:r>
            <w:r w:rsidR="00135010">
              <w:rPr>
                <w:rFonts w:eastAsia="Times New Roman" w:cstheme="minorHAnsi"/>
                <w:b/>
                <w:color w:val="000000"/>
                <w:sz w:val="20"/>
                <w:szCs w:val="20"/>
              </w:rPr>
              <w:t>.0</w:t>
            </w:r>
          </w:p>
        </w:tc>
        <w:tc>
          <w:tcPr>
            <w:tcW w:w="1381" w:type="dxa"/>
            <w:noWrap/>
            <w:hideMark/>
          </w:tcPr>
          <w:p w:rsidR="00447AC4" w:rsidRPr="00447AC4" w:rsidRDefault="00447AC4" w:rsidP="00447AC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r w:rsidRPr="00447AC4">
              <w:rPr>
                <w:rFonts w:eastAsia="Times New Roman" w:cstheme="minorHAnsi"/>
                <w:b/>
                <w:color w:val="000000"/>
                <w:sz w:val="20"/>
                <w:szCs w:val="20"/>
              </w:rPr>
              <w:t>15</w:t>
            </w:r>
            <w:r w:rsidR="00135010">
              <w:rPr>
                <w:rFonts w:eastAsia="Times New Roman" w:cstheme="minorHAnsi"/>
                <w:b/>
                <w:color w:val="000000"/>
                <w:sz w:val="20"/>
                <w:szCs w:val="20"/>
              </w:rPr>
              <w:t>.0</w:t>
            </w:r>
          </w:p>
        </w:tc>
        <w:tc>
          <w:tcPr>
            <w:tcW w:w="1381" w:type="dxa"/>
            <w:noWrap/>
            <w:hideMark/>
          </w:tcPr>
          <w:p w:rsidR="00447AC4" w:rsidRPr="00447AC4" w:rsidRDefault="00447AC4" w:rsidP="00447AC4">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p>
        </w:tc>
        <w:tc>
          <w:tcPr>
            <w:tcW w:w="1381" w:type="dxa"/>
            <w:noWrap/>
            <w:hideMark/>
          </w:tcPr>
          <w:p w:rsidR="00447AC4" w:rsidRPr="00447AC4" w:rsidRDefault="00447AC4" w:rsidP="00447AC4">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p>
        </w:tc>
        <w:tc>
          <w:tcPr>
            <w:tcW w:w="1381" w:type="dxa"/>
            <w:noWrap/>
            <w:hideMark/>
          </w:tcPr>
          <w:p w:rsidR="00447AC4" w:rsidRPr="00447AC4" w:rsidRDefault="00447AC4" w:rsidP="00447AC4">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20"/>
                <w:szCs w:val="20"/>
              </w:rPr>
            </w:pPr>
          </w:p>
        </w:tc>
      </w:tr>
    </w:tbl>
    <w:p w:rsidR="00447AC4" w:rsidRDefault="00447AC4" w:rsidP="003C5145">
      <w:pPr>
        <w:pStyle w:val="NoSpacing"/>
      </w:pPr>
    </w:p>
    <w:p w:rsidR="00447AC4" w:rsidRDefault="00447AC4">
      <w:r>
        <w:br w:type="page"/>
      </w:r>
    </w:p>
    <w:p w:rsidR="00484F0F" w:rsidRPr="00484F0F" w:rsidRDefault="00484F0F" w:rsidP="00484F0F">
      <w:pPr>
        <w:pStyle w:val="NoSpacing"/>
        <w:tabs>
          <w:tab w:val="left" w:pos="1695"/>
        </w:tabs>
        <w:rPr>
          <w:b/>
          <w:sz w:val="18"/>
          <w:szCs w:val="18"/>
        </w:rPr>
      </w:pPr>
      <w:r w:rsidRPr="00484F0F">
        <w:rPr>
          <w:b/>
          <w:sz w:val="18"/>
          <w:szCs w:val="18"/>
        </w:rPr>
        <w:lastRenderedPageBreak/>
        <w:t>Figure 1: Marginal forecast scenario curves for default units</w:t>
      </w:r>
    </w:p>
    <w:p w:rsidR="00484F0F" w:rsidRDefault="00447AC4" w:rsidP="003C5145">
      <w:pPr>
        <w:pStyle w:val="NoSpacing"/>
      </w:pPr>
      <w:r>
        <w:rPr>
          <w:noProof/>
        </w:rPr>
        <w:drawing>
          <wp:inline distT="0" distB="0" distL="0" distR="0" wp14:anchorId="42B3C90E">
            <wp:extent cx="6016501" cy="2011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501" cy="2011680"/>
                    </a:xfrm>
                    <a:prstGeom prst="rect">
                      <a:avLst/>
                    </a:prstGeom>
                    <a:noFill/>
                  </pic:spPr>
                </pic:pic>
              </a:graphicData>
            </a:graphic>
          </wp:inline>
        </w:drawing>
      </w:r>
    </w:p>
    <w:p w:rsidR="00447AC4" w:rsidRDefault="00447AC4" w:rsidP="00447AC4">
      <w:pPr>
        <w:pStyle w:val="NoSpacing"/>
      </w:pPr>
    </w:p>
    <w:p w:rsidR="00484F0F" w:rsidRPr="00484F0F" w:rsidRDefault="00484F0F" w:rsidP="00484F0F">
      <w:pPr>
        <w:pStyle w:val="NoSpacing"/>
        <w:tabs>
          <w:tab w:val="left" w:pos="1695"/>
        </w:tabs>
        <w:rPr>
          <w:b/>
          <w:sz w:val="18"/>
          <w:szCs w:val="18"/>
        </w:rPr>
      </w:pPr>
      <w:r w:rsidRPr="00484F0F">
        <w:rPr>
          <w:b/>
          <w:sz w:val="18"/>
          <w:szCs w:val="18"/>
        </w:rPr>
        <w:t>Figure 2: Cumulative forecast scenario curves for default units</w:t>
      </w:r>
    </w:p>
    <w:p w:rsidR="00484F0F" w:rsidRDefault="00447AC4" w:rsidP="003C5145">
      <w:pPr>
        <w:pStyle w:val="NoSpacing"/>
      </w:pPr>
      <w:r>
        <w:rPr>
          <w:noProof/>
        </w:rPr>
        <w:drawing>
          <wp:inline distT="0" distB="0" distL="0" distR="0" wp14:anchorId="41633B52">
            <wp:extent cx="6016752" cy="2011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752" cy="2011680"/>
                    </a:xfrm>
                    <a:prstGeom prst="rect">
                      <a:avLst/>
                    </a:prstGeom>
                    <a:noFill/>
                  </pic:spPr>
                </pic:pic>
              </a:graphicData>
            </a:graphic>
          </wp:inline>
        </w:drawing>
      </w:r>
    </w:p>
    <w:p w:rsidR="00B90DE0" w:rsidRDefault="006E769B" w:rsidP="006E769B">
      <w:pPr>
        <w:pStyle w:val="NoSpacing"/>
        <w:tabs>
          <w:tab w:val="left" w:pos="1050"/>
        </w:tabs>
      </w:pPr>
      <w:r>
        <w:tab/>
      </w:r>
    </w:p>
    <w:p w:rsidR="00895918" w:rsidRDefault="00895918" w:rsidP="006E769B">
      <w:pPr>
        <w:pStyle w:val="NoSpacing"/>
        <w:tabs>
          <w:tab w:val="left" w:pos="1050"/>
        </w:tabs>
      </w:pPr>
      <w:r>
        <w:t xml:space="preserve">The same trends were observed for default </w:t>
      </w:r>
      <w:r w:rsidRPr="003F5FF2">
        <w:t>balances, GCL, and NCLs</w:t>
      </w:r>
      <w:r>
        <w:t xml:space="preserve">.  </w:t>
      </w:r>
    </w:p>
    <w:p w:rsidR="00B90DE0" w:rsidRDefault="00B90DE0" w:rsidP="00B90DE0">
      <w:pPr>
        <w:pStyle w:val="Heading1"/>
      </w:pPr>
      <w:r>
        <w:t>Modelers</w:t>
      </w:r>
      <w:r w:rsidR="006E769B">
        <w:t xml:space="preserve"> C</w:t>
      </w:r>
      <w:r>
        <w:t>omments</w:t>
      </w:r>
      <w:r w:rsidR="00583E1A">
        <w:t>:</w:t>
      </w:r>
    </w:p>
    <w:p w:rsidR="00135010" w:rsidRDefault="001E264D" w:rsidP="00135010">
      <w:pPr>
        <w:pStyle w:val="NoSpacing"/>
      </w:pPr>
      <w:r>
        <w:t xml:space="preserve">During the model development phase the loan level information and historical macro-economic data is used. </w:t>
      </w:r>
      <w:r w:rsidRPr="001E264D">
        <w:rPr>
          <w:b/>
        </w:rPr>
        <w:t xml:space="preserve">Once the model is finalized then the </w:t>
      </w:r>
      <w:r w:rsidRPr="001E264D">
        <w:rPr>
          <w:b/>
        </w:rPr>
        <w:t xml:space="preserve">macro-economic </w:t>
      </w:r>
      <w:r w:rsidRPr="001E264D">
        <w:rPr>
          <w:b/>
        </w:rPr>
        <w:t>data for various scenarios are imputed in the model to get the corresponding data.</w:t>
      </w:r>
      <w:r>
        <w:t xml:space="preserve"> </w:t>
      </w:r>
    </w:p>
    <w:p w:rsidR="001E264D" w:rsidRDefault="001E264D" w:rsidP="00135010">
      <w:pPr>
        <w:pStyle w:val="NoSpacing"/>
      </w:pPr>
    </w:p>
    <w:p w:rsidR="001E264D" w:rsidRDefault="001E264D" w:rsidP="00135010">
      <w:pPr>
        <w:pStyle w:val="NoSpacing"/>
      </w:pPr>
      <w:r w:rsidRPr="001E264D">
        <w:rPr>
          <w:b/>
        </w:rPr>
        <w:t xml:space="preserve">Example: </w:t>
      </w:r>
      <w:r>
        <w:t xml:space="preserve">In the model, the 3 macro-economic variables (HPI, Mortgage Rate, Unemployment and GDP) were found significant. The formulas for various scenarios are listed below: </w:t>
      </w:r>
    </w:p>
    <w:p w:rsidR="00135010" w:rsidRDefault="00135010" w:rsidP="00135010">
      <w:pPr>
        <w:pStyle w:val="NoSpacing"/>
      </w:pPr>
    </w:p>
    <w:p w:rsidR="00135010" w:rsidRPr="005C36E3" w:rsidRDefault="00135010" w:rsidP="00135010">
      <w:pPr>
        <w:pStyle w:val="NoSpacing"/>
        <w:rPr>
          <w:b/>
          <w:sz w:val="18"/>
          <w:szCs w:val="18"/>
        </w:rPr>
      </w:pPr>
      <w:r w:rsidRPr="005C36E3">
        <w:rPr>
          <w:b/>
          <w:sz w:val="18"/>
          <w:szCs w:val="18"/>
        </w:rPr>
        <w:t xml:space="preserve">Formula </w:t>
      </w:r>
      <w:r>
        <w:rPr>
          <w:b/>
          <w:sz w:val="18"/>
          <w:szCs w:val="18"/>
        </w:rPr>
        <w:t>2</w:t>
      </w:r>
      <w:r w:rsidRPr="005C36E3">
        <w:rPr>
          <w:b/>
          <w:sz w:val="18"/>
          <w:szCs w:val="18"/>
        </w:rPr>
        <w:t xml:space="preserve">: Formula to calculate the </w:t>
      </w:r>
      <w:r>
        <w:rPr>
          <w:b/>
          <w:sz w:val="18"/>
          <w:szCs w:val="18"/>
        </w:rPr>
        <w:t xml:space="preserve">PD for Base, </w:t>
      </w:r>
      <w:r w:rsidRPr="005C36E3">
        <w:rPr>
          <w:b/>
          <w:sz w:val="18"/>
          <w:szCs w:val="18"/>
        </w:rPr>
        <w:t>Adv</w:t>
      </w:r>
      <w:r>
        <w:rPr>
          <w:b/>
          <w:sz w:val="18"/>
          <w:szCs w:val="18"/>
        </w:rPr>
        <w:t>erse and Severe Adverse</w:t>
      </w:r>
      <w:r w:rsidRPr="005C36E3">
        <w:rPr>
          <w:b/>
          <w:sz w:val="18"/>
          <w:szCs w:val="18"/>
        </w:rPr>
        <w:t xml:space="preserve">: </w:t>
      </w:r>
    </w:p>
    <w:tbl>
      <w:tblPr>
        <w:tblStyle w:val="LightShading-Accent2"/>
        <w:tblW w:w="0" w:type="auto"/>
        <w:tblLook w:val="04A0" w:firstRow="1" w:lastRow="0" w:firstColumn="1" w:lastColumn="0" w:noHBand="0" w:noVBand="1"/>
      </w:tblPr>
      <w:tblGrid>
        <w:gridCol w:w="9576"/>
      </w:tblGrid>
      <w:tr w:rsidR="00135010" w:rsidRPr="00BF6E38" w:rsidTr="00877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35010" w:rsidRDefault="00135010" w:rsidP="008776AE">
            <w:pPr>
              <w:pStyle w:val="NoSpacing"/>
              <w:rPr>
                <w:color w:val="000000" w:themeColor="text1"/>
              </w:rPr>
            </w:pPr>
            <w:r>
              <w:rPr>
                <w:color w:val="000000" w:themeColor="text1"/>
              </w:rPr>
              <w:t xml:space="preserve">PD (Model) </w:t>
            </w:r>
            <w:r w:rsidRPr="00BF6E38">
              <w:rPr>
                <w:color w:val="000000" w:themeColor="text1"/>
              </w:rPr>
              <w:t xml:space="preserve">= </w:t>
            </w:r>
            <w:r>
              <w:rPr>
                <w:color w:val="000000" w:themeColor="text1"/>
              </w:rPr>
              <w:t>Function (</w:t>
            </w:r>
            <w:proofErr w:type="spellStart"/>
            <w:r>
              <w:rPr>
                <w:color w:val="000000" w:themeColor="text1"/>
              </w:rPr>
              <w:t>HPI</w:t>
            </w:r>
            <w:r w:rsidRPr="00135010">
              <w:rPr>
                <w:color w:val="000000" w:themeColor="text1"/>
                <w:vertAlign w:val="subscript"/>
              </w:rPr>
              <w:t>hist</w:t>
            </w:r>
            <w:proofErr w:type="spellEnd"/>
            <w:r>
              <w:rPr>
                <w:color w:val="000000" w:themeColor="text1"/>
              </w:rPr>
              <w:t xml:space="preserve">, </w:t>
            </w:r>
            <w:proofErr w:type="spellStart"/>
            <w:r w:rsidR="001E264D">
              <w:rPr>
                <w:color w:val="000000" w:themeColor="text1"/>
              </w:rPr>
              <w:t>MR</w:t>
            </w:r>
            <w:r w:rsidR="001E264D" w:rsidRPr="00135010">
              <w:rPr>
                <w:color w:val="000000" w:themeColor="text1"/>
                <w:vertAlign w:val="subscript"/>
              </w:rPr>
              <w:t>hist</w:t>
            </w:r>
            <w:proofErr w:type="spellEnd"/>
            <w:r w:rsidR="001E264D">
              <w:rPr>
                <w:color w:val="000000" w:themeColor="text1"/>
              </w:rPr>
              <w:t xml:space="preserve">, </w:t>
            </w:r>
            <w:proofErr w:type="spellStart"/>
            <w:r>
              <w:rPr>
                <w:color w:val="000000" w:themeColor="text1"/>
              </w:rPr>
              <w:t>Unemp</w:t>
            </w:r>
            <w:r w:rsidRPr="00135010">
              <w:rPr>
                <w:color w:val="000000" w:themeColor="text1"/>
                <w:vertAlign w:val="subscript"/>
              </w:rPr>
              <w:t>hist</w:t>
            </w:r>
            <w:proofErr w:type="spellEnd"/>
            <w:r>
              <w:rPr>
                <w:color w:val="000000" w:themeColor="text1"/>
              </w:rPr>
              <w:t xml:space="preserve">, </w:t>
            </w:r>
            <w:proofErr w:type="spellStart"/>
            <w:r>
              <w:rPr>
                <w:color w:val="000000" w:themeColor="text1"/>
              </w:rPr>
              <w:t>GDP</w:t>
            </w:r>
            <w:r w:rsidRPr="00135010">
              <w:rPr>
                <w:color w:val="000000" w:themeColor="text1"/>
                <w:vertAlign w:val="subscript"/>
              </w:rPr>
              <w:t>hist</w:t>
            </w:r>
            <w:proofErr w:type="spellEnd"/>
            <w:r>
              <w:rPr>
                <w:color w:val="000000" w:themeColor="text1"/>
              </w:rPr>
              <w:t>)</w:t>
            </w:r>
          </w:p>
          <w:p w:rsidR="00135010" w:rsidRDefault="00135010" w:rsidP="008776AE">
            <w:pPr>
              <w:pStyle w:val="NoSpacing"/>
              <w:rPr>
                <w:color w:val="000000" w:themeColor="text1"/>
              </w:rPr>
            </w:pPr>
            <w:r>
              <w:rPr>
                <w:color w:val="000000" w:themeColor="text1"/>
              </w:rPr>
              <w:t>PD (BASE) = Function (</w:t>
            </w:r>
            <w:proofErr w:type="spellStart"/>
            <w:r>
              <w:rPr>
                <w:color w:val="000000" w:themeColor="text1"/>
              </w:rPr>
              <w:t>HPI</w:t>
            </w:r>
            <w:r w:rsidRPr="00135010">
              <w:rPr>
                <w:color w:val="000000" w:themeColor="text1"/>
                <w:vertAlign w:val="subscript"/>
              </w:rPr>
              <w:t>base</w:t>
            </w:r>
            <w:proofErr w:type="spellEnd"/>
            <w:r>
              <w:rPr>
                <w:color w:val="000000" w:themeColor="text1"/>
              </w:rPr>
              <w:t xml:space="preserve">, </w:t>
            </w:r>
            <w:proofErr w:type="spellStart"/>
            <w:r w:rsidR="001E264D">
              <w:rPr>
                <w:color w:val="000000" w:themeColor="text1"/>
              </w:rPr>
              <w:t>MR</w:t>
            </w:r>
            <w:r w:rsidR="001E264D" w:rsidRPr="00135010">
              <w:rPr>
                <w:color w:val="000000" w:themeColor="text1"/>
                <w:vertAlign w:val="subscript"/>
              </w:rPr>
              <w:t>base</w:t>
            </w:r>
            <w:proofErr w:type="spellEnd"/>
            <w:r w:rsidR="001E264D">
              <w:rPr>
                <w:color w:val="000000" w:themeColor="text1"/>
              </w:rPr>
              <w:t xml:space="preserve">, </w:t>
            </w:r>
            <w:proofErr w:type="spellStart"/>
            <w:r>
              <w:rPr>
                <w:color w:val="000000" w:themeColor="text1"/>
              </w:rPr>
              <w:t>Unemp</w:t>
            </w:r>
            <w:r w:rsidRPr="00135010">
              <w:rPr>
                <w:color w:val="000000" w:themeColor="text1"/>
                <w:vertAlign w:val="subscript"/>
              </w:rPr>
              <w:t>base</w:t>
            </w:r>
            <w:proofErr w:type="spellEnd"/>
            <w:r>
              <w:rPr>
                <w:color w:val="000000" w:themeColor="text1"/>
              </w:rPr>
              <w:t xml:space="preserve">, </w:t>
            </w:r>
            <w:proofErr w:type="spellStart"/>
            <w:r>
              <w:rPr>
                <w:color w:val="000000" w:themeColor="text1"/>
              </w:rPr>
              <w:t>GDP</w:t>
            </w:r>
            <w:r w:rsidRPr="00135010">
              <w:rPr>
                <w:color w:val="000000" w:themeColor="text1"/>
                <w:vertAlign w:val="subscript"/>
              </w:rPr>
              <w:t>base</w:t>
            </w:r>
            <w:proofErr w:type="spellEnd"/>
            <w:r>
              <w:rPr>
                <w:color w:val="000000" w:themeColor="text1"/>
              </w:rPr>
              <w:t>)</w:t>
            </w:r>
          </w:p>
          <w:p w:rsidR="00135010" w:rsidRDefault="00135010" w:rsidP="008776AE">
            <w:pPr>
              <w:pStyle w:val="NoSpacing"/>
              <w:rPr>
                <w:color w:val="000000" w:themeColor="text1"/>
              </w:rPr>
            </w:pPr>
            <w:r>
              <w:rPr>
                <w:color w:val="000000" w:themeColor="text1"/>
              </w:rPr>
              <w:t>PD (Adverse) = Function (</w:t>
            </w:r>
            <w:proofErr w:type="spellStart"/>
            <w:r>
              <w:rPr>
                <w:color w:val="000000" w:themeColor="text1"/>
              </w:rPr>
              <w:t>HPI</w:t>
            </w:r>
            <w:r w:rsidRPr="00135010">
              <w:rPr>
                <w:color w:val="000000" w:themeColor="text1"/>
                <w:vertAlign w:val="subscript"/>
              </w:rPr>
              <w:t>adv</w:t>
            </w:r>
            <w:proofErr w:type="spellEnd"/>
            <w:r>
              <w:rPr>
                <w:color w:val="000000" w:themeColor="text1"/>
              </w:rPr>
              <w:t xml:space="preserve">, </w:t>
            </w:r>
            <w:proofErr w:type="spellStart"/>
            <w:r w:rsidR="001E264D">
              <w:rPr>
                <w:color w:val="000000" w:themeColor="text1"/>
              </w:rPr>
              <w:t>MR</w:t>
            </w:r>
            <w:r w:rsidR="001E264D" w:rsidRPr="00135010">
              <w:rPr>
                <w:color w:val="000000" w:themeColor="text1"/>
                <w:vertAlign w:val="subscript"/>
              </w:rPr>
              <w:t>adv</w:t>
            </w:r>
            <w:proofErr w:type="spellEnd"/>
            <w:r w:rsidR="001E264D">
              <w:rPr>
                <w:color w:val="000000" w:themeColor="text1"/>
              </w:rPr>
              <w:t xml:space="preserve">, </w:t>
            </w:r>
            <w:proofErr w:type="spellStart"/>
            <w:r>
              <w:rPr>
                <w:color w:val="000000" w:themeColor="text1"/>
              </w:rPr>
              <w:t>Unemp</w:t>
            </w:r>
            <w:r w:rsidRPr="00135010">
              <w:rPr>
                <w:color w:val="000000" w:themeColor="text1"/>
                <w:vertAlign w:val="subscript"/>
              </w:rPr>
              <w:t>adv</w:t>
            </w:r>
            <w:proofErr w:type="spellEnd"/>
            <w:r>
              <w:rPr>
                <w:color w:val="000000" w:themeColor="text1"/>
              </w:rPr>
              <w:t xml:space="preserve">, </w:t>
            </w:r>
            <w:proofErr w:type="spellStart"/>
            <w:r>
              <w:rPr>
                <w:color w:val="000000" w:themeColor="text1"/>
              </w:rPr>
              <w:t>GDP</w:t>
            </w:r>
            <w:r w:rsidRPr="00135010">
              <w:rPr>
                <w:color w:val="000000" w:themeColor="text1"/>
                <w:vertAlign w:val="subscript"/>
              </w:rPr>
              <w:t>adv</w:t>
            </w:r>
            <w:proofErr w:type="spellEnd"/>
            <w:r>
              <w:rPr>
                <w:color w:val="000000" w:themeColor="text1"/>
              </w:rPr>
              <w:t>)</w:t>
            </w:r>
          </w:p>
          <w:p w:rsidR="00135010" w:rsidRPr="00BF6E38" w:rsidRDefault="00135010" w:rsidP="001E264D">
            <w:pPr>
              <w:pStyle w:val="NoSpacing"/>
              <w:rPr>
                <w:color w:val="000000" w:themeColor="text1"/>
              </w:rPr>
            </w:pPr>
            <w:r>
              <w:rPr>
                <w:color w:val="000000" w:themeColor="text1"/>
              </w:rPr>
              <w:t>PD (</w:t>
            </w:r>
            <w:proofErr w:type="spellStart"/>
            <w:r>
              <w:rPr>
                <w:color w:val="000000" w:themeColor="text1"/>
              </w:rPr>
              <w:t>Sev</w:t>
            </w:r>
            <w:proofErr w:type="spellEnd"/>
            <w:r>
              <w:rPr>
                <w:color w:val="000000" w:themeColor="text1"/>
              </w:rPr>
              <w:t xml:space="preserve"> Adverse) = </w:t>
            </w:r>
            <w:r>
              <w:rPr>
                <w:color w:val="000000" w:themeColor="text1"/>
              </w:rPr>
              <w:t>Func</w:t>
            </w:r>
            <w:r>
              <w:rPr>
                <w:color w:val="000000" w:themeColor="text1"/>
              </w:rPr>
              <w:t>tion (</w:t>
            </w:r>
            <w:proofErr w:type="spellStart"/>
            <w:r>
              <w:rPr>
                <w:color w:val="000000" w:themeColor="text1"/>
              </w:rPr>
              <w:t>HPI</w:t>
            </w:r>
            <w:r w:rsidRPr="00135010">
              <w:rPr>
                <w:color w:val="000000" w:themeColor="text1"/>
                <w:vertAlign w:val="subscript"/>
              </w:rPr>
              <w:t>sadv</w:t>
            </w:r>
            <w:proofErr w:type="spellEnd"/>
            <w:r>
              <w:rPr>
                <w:color w:val="000000" w:themeColor="text1"/>
              </w:rPr>
              <w:t xml:space="preserve">, </w:t>
            </w:r>
            <w:proofErr w:type="spellStart"/>
            <w:r w:rsidR="001E264D">
              <w:rPr>
                <w:color w:val="000000" w:themeColor="text1"/>
              </w:rPr>
              <w:t>MR</w:t>
            </w:r>
            <w:r w:rsidR="001E264D" w:rsidRPr="00135010">
              <w:rPr>
                <w:color w:val="000000" w:themeColor="text1"/>
                <w:vertAlign w:val="subscript"/>
              </w:rPr>
              <w:t>sadv</w:t>
            </w:r>
            <w:proofErr w:type="spellEnd"/>
            <w:r w:rsidR="001E264D">
              <w:rPr>
                <w:color w:val="000000" w:themeColor="text1"/>
              </w:rPr>
              <w:t xml:space="preserve">, </w:t>
            </w:r>
            <w:proofErr w:type="spellStart"/>
            <w:r>
              <w:rPr>
                <w:color w:val="000000" w:themeColor="text1"/>
              </w:rPr>
              <w:t>Unemp</w:t>
            </w:r>
            <w:r w:rsidRPr="00135010">
              <w:rPr>
                <w:color w:val="000000" w:themeColor="text1"/>
                <w:vertAlign w:val="subscript"/>
              </w:rPr>
              <w:t>sadv</w:t>
            </w:r>
            <w:proofErr w:type="spellEnd"/>
            <w:r>
              <w:rPr>
                <w:color w:val="000000" w:themeColor="text1"/>
              </w:rPr>
              <w:t xml:space="preserve">, </w:t>
            </w:r>
            <w:proofErr w:type="spellStart"/>
            <w:r>
              <w:rPr>
                <w:color w:val="000000" w:themeColor="text1"/>
              </w:rPr>
              <w:t>GDP</w:t>
            </w:r>
            <w:r w:rsidRPr="00135010">
              <w:rPr>
                <w:color w:val="000000" w:themeColor="text1"/>
                <w:vertAlign w:val="subscript"/>
              </w:rPr>
              <w:t>sadv</w:t>
            </w:r>
            <w:proofErr w:type="spellEnd"/>
            <w:r>
              <w:rPr>
                <w:color w:val="000000" w:themeColor="text1"/>
              </w:rPr>
              <w:t>)</w:t>
            </w:r>
          </w:p>
        </w:tc>
      </w:tr>
    </w:tbl>
    <w:p w:rsidR="00135010" w:rsidRDefault="00135010" w:rsidP="00135010">
      <w:pPr>
        <w:pStyle w:val="NoSpacing"/>
      </w:pPr>
    </w:p>
    <w:p w:rsidR="00135010" w:rsidRDefault="00135010">
      <w:r>
        <w:br w:type="page"/>
      </w:r>
    </w:p>
    <w:p w:rsidR="00135010" w:rsidRPr="00135010" w:rsidRDefault="00135010" w:rsidP="00135010">
      <w:pPr>
        <w:pStyle w:val="NoSpacing"/>
        <w:rPr>
          <w:b/>
          <w:sz w:val="18"/>
          <w:szCs w:val="18"/>
        </w:rPr>
      </w:pPr>
      <w:r w:rsidRPr="00135010">
        <w:rPr>
          <w:b/>
          <w:sz w:val="18"/>
          <w:szCs w:val="18"/>
        </w:rPr>
        <w:lastRenderedPageBreak/>
        <w:t>Table 4: Steps in Sensitivity Testing</w:t>
      </w:r>
    </w:p>
    <w:tbl>
      <w:tblPr>
        <w:tblStyle w:val="LightShading-Accent2"/>
        <w:tblW w:w="0" w:type="auto"/>
        <w:tblLook w:val="04A0" w:firstRow="1" w:lastRow="0" w:firstColumn="1" w:lastColumn="0" w:noHBand="0" w:noVBand="1"/>
      </w:tblPr>
      <w:tblGrid>
        <w:gridCol w:w="1915"/>
        <w:gridCol w:w="7661"/>
      </w:tblGrid>
      <w:tr w:rsidR="00B90DE0" w:rsidTr="00135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6E769B" w:rsidP="00004E33">
            <w:pPr>
              <w:pStyle w:val="NoSpacing"/>
              <w:rPr>
                <w:color w:val="000000" w:themeColor="text1"/>
              </w:rPr>
            </w:pPr>
            <w:r>
              <w:rPr>
                <w:color w:val="000000" w:themeColor="text1"/>
              </w:rPr>
              <w:t xml:space="preserve">Steps </w:t>
            </w:r>
          </w:p>
        </w:tc>
        <w:tc>
          <w:tcPr>
            <w:tcW w:w="7661" w:type="dxa"/>
          </w:tcPr>
          <w:p w:rsidR="00B90DE0" w:rsidRPr="00B90DE0" w:rsidRDefault="006E769B" w:rsidP="00004E33">
            <w:pPr>
              <w:pStyle w:val="NoSpacing"/>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Model Development Steps</w:t>
            </w:r>
          </w:p>
        </w:tc>
      </w:tr>
      <w:tr w:rsidR="00B90DE0" w:rsidTr="0013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0DE0" w:rsidRDefault="00B90DE0" w:rsidP="00004E33">
            <w:pPr>
              <w:pStyle w:val="NoSpacing"/>
              <w:rPr>
                <w:color w:val="000000" w:themeColor="text1"/>
              </w:rPr>
            </w:pPr>
            <w:r>
              <w:rPr>
                <w:color w:val="000000" w:themeColor="text1"/>
              </w:rPr>
              <w:t>Step 1</w:t>
            </w:r>
          </w:p>
          <w:p w:rsidR="00744B8B" w:rsidRPr="00B90DE0" w:rsidRDefault="00744B8B" w:rsidP="00004E33">
            <w:pPr>
              <w:pStyle w:val="NoSpacing"/>
              <w:rPr>
                <w:color w:val="000000" w:themeColor="text1"/>
              </w:rPr>
            </w:pPr>
            <w:r>
              <w:rPr>
                <w:color w:val="000000" w:themeColor="text1"/>
              </w:rPr>
              <w:t>(Model Development)</w:t>
            </w:r>
          </w:p>
        </w:tc>
        <w:tc>
          <w:tcPr>
            <w:tcW w:w="7661" w:type="dxa"/>
          </w:tcPr>
          <w:p w:rsidR="00B90DE0" w:rsidRDefault="00B90DE0" w:rsidP="00B90DE0">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account level PD transition model is created using historical loan level and macro econ data. In general last 7-10 years data is considered for building the model. </w:t>
            </w:r>
          </w:p>
          <w:p w:rsidR="00B90DE0" w:rsidRDefault="00B90DE0" w:rsidP="00B90DE0">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p>
          <w:p w:rsidR="00B90DE0" w:rsidRPr="00B90DE0" w:rsidRDefault="00B90DE0" w:rsidP="00B90DE0">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r w:rsidRPr="00135010">
              <w:rPr>
                <w:b/>
                <w:color w:val="000000" w:themeColor="text1"/>
              </w:rPr>
              <w:t>The Model Development Team constructed the Residential Loan Model by leveraging a probabilistic loan state transition matrix model approach combined with an accounting based loss-given-default (LGD) framework and empirically derived recovery assumptions.</w:t>
            </w:r>
            <w:r w:rsidRPr="00B90DE0">
              <w:rPr>
                <w:color w:val="000000" w:themeColor="text1"/>
              </w:rPr>
              <w:t xml:space="preserve"> Throughout the lifetime of each loan, the model computes the expected outstanding balance as a function of expected amortization or periodic installments, risk adjusted for potential prepayment and default incidence termination risks. </w:t>
            </w:r>
          </w:p>
          <w:p w:rsidR="00744B8B" w:rsidRDefault="00744B8B" w:rsidP="00B90DE0">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p>
          <w:p w:rsidR="00B90DE0" w:rsidRPr="00135010" w:rsidRDefault="00B90DE0" w:rsidP="00744B8B">
            <w:pPr>
              <w:pStyle w:val="NoSpacing"/>
              <w:cnfStyle w:val="000000100000" w:firstRow="0" w:lastRow="0" w:firstColumn="0" w:lastColumn="0" w:oddVBand="0" w:evenVBand="0" w:oddHBand="1" w:evenHBand="0" w:firstRowFirstColumn="0" w:firstRowLastColumn="0" w:lastRowFirstColumn="0" w:lastRowLastColumn="0"/>
              <w:rPr>
                <w:b/>
                <w:color w:val="000000" w:themeColor="text1"/>
              </w:rPr>
            </w:pPr>
            <w:r w:rsidRPr="00B90DE0">
              <w:rPr>
                <w:color w:val="000000" w:themeColor="text1"/>
              </w:rPr>
              <w:t>The overall modeling approach follows an account level expected loss framework highlighted in the equation below:</w:t>
            </w:r>
            <w:r w:rsidR="00744B8B">
              <w:rPr>
                <w:color w:val="000000" w:themeColor="text1"/>
              </w:rPr>
              <w:t xml:space="preserve"> </w:t>
            </w:r>
            <w:r w:rsidRPr="00135010">
              <w:rPr>
                <w:b/>
                <w:color w:val="000000" w:themeColor="text1"/>
              </w:rPr>
              <w:t>EL = PD*EAD*LGD</w:t>
            </w:r>
          </w:p>
          <w:p w:rsidR="00744B8B" w:rsidRPr="00B90DE0" w:rsidRDefault="00744B8B" w:rsidP="00744B8B">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90DE0" w:rsidTr="00135010">
        <w:tc>
          <w:tcPr>
            <w:cnfStyle w:val="001000000000" w:firstRow="0" w:lastRow="0" w:firstColumn="1" w:lastColumn="0" w:oddVBand="0" w:evenVBand="0" w:oddHBand="0" w:evenHBand="0" w:firstRowFirstColumn="0" w:firstRowLastColumn="0" w:lastRowFirstColumn="0" w:lastRowLastColumn="0"/>
            <w:tcW w:w="1915" w:type="dxa"/>
          </w:tcPr>
          <w:p w:rsidR="00B90DE0" w:rsidRPr="00744B8B" w:rsidRDefault="00744B8B" w:rsidP="00004E33">
            <w:pPr>
              <w:pStyle w:val="NoSpacing"/>
              <w:rPr>
                <w:color w:val="000000" w:themeColor="text1"/>
              </w:rPr>
            </w:pPr>
            <w:r w:rsidRPr="00744B8B">
              <w:rPr>
                <w:color w:val="000000" w:themeColor="text1"/>
              </w:rPr>
              <w:t>Step 2</w:t>
            </w:r>
          </w:p>
          <w:p w:rsidR="00744B8B" w:rsidRPr="00744B8B" w:rsidRDefault="00744B8B" w:rsidP="00004E33">
            <w:pPr>
              <w:pStyle w:val="NoSpacing"/>
              <w:rPr>
                <w:color w:val="000000" w:themeColor="text1"/>
              </w:rPr>
            </w:pPr>
            <w:r w:rsidRPr="00744B8B">
              <w:rPr>
                <w:color w:val="000000" w:themeColor="text1"/>
              </w:rPr>
              <w:t>(Sensitivity Test)</w:t>
            </w:r>
          </w:p>
        </w:tc>
        <w:tc>
          <w:tcPr>
            <w:tcW w:w="7661" w:type="dxa"/>
          </w:tcPr>
          <w:p w:rsidR="00B90DE0" w:rsidRPr="00744B8B" w:rsidRDefault="00744B8B" w:rsidP="00744B8B">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sidRPr="00744B8B">
              <w:rPr>
                <w:color w:val="000000" w:themeColor="text1"/>
              </w:rPr>
              <w:t>Sensitivity testing is performed on the final model specification in order to assess the model’s appropriateness for use in the CCAR submission. Sensitivity tests are performed using the base, adverse, and severely adverse scenario.</w:t>
            </w:r>
          </w:p>
          <w:p w:rsidR="00744B8B" w:rsidRPr="00744B8B" w:rsidRDefault="00744B8B" w:rsidP="00744B8B">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p>
          <w:p w:rsidR="00744B8B" w:rsidRPr="00744B8B" w:rsidRDefault="00744B8B" w:rsidP="00744B8B">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sidRPr="00744B8B">
              <w:rPr>
                <w:color w:val="000000" w:themeColor="text1"/>
              </w:rPr>
              <w:t>PD = f(Loan level data, macro econ data)</w:t>
            </w:r>
          </w:p>
          <w:p w:rsidR="00744B8B" w:rsidRPr="00744B8B" w:rsidRDefault="00744B8B" w:rsidP="00744B8B">
            <w:pPr>
              <w:pStyle w:val="NoSpacing"/>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744B8B">
              <w:rPr>
                <w:b/>
                <w:color w:val="000000" w:themeColor="text1"/>
              </w:rPr>
              <w:t xml:space="preserve">Loan level data: </w:t>
            </w:r>
            <w:r w:rsidRPr="00744B8B">
              <w:rPr>
                <w:color w:val="000000" w:themeColor="text1"/>
              </w:rPr>
              <w:t xml:space="preserve">Origination FICO, Loan Type, Property Type, Document Type, </w:t>
            </w:r>
            <w:proofErr w:type="spellStart"/>
            <w:r w:rsidRPr="00744B8B">
              <w:rPr>
                <w:color w:val="000000" w:themeColor="text1"/>
              </w:rPr>
              <w:t>etc</w:t>
            </w:r>
            <w:proofErr w:type="spellEnd"/>
          </w:p>
          <w:p w:rsidR="006E769B" w:rsidRPr="006E769B" w:rsidRDefault="00744B8B" w:rsidP="006E769B">
            <w:pPr>
              <w:pStyle w:val="NoSpacing"/>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744B8B">
              <w:rPr>
                <w:b/>
                <w:color w:val="000000" w:themeColor="text1"/>
              </w:rPr>
              <w:t>Macro econ data:</w:t>
            </w:r>
            <w:r w:rsidRPr="00744B8B">
              <w:rPr>
                <w:color w:val="000000" w:themeColor="text1"/>
              </w:rPr>
              <w:t xml:space="preserve"> HPI, GDP, Unemployment, Interest rate, etc. Further </w:t>
            </w:r>
            <w:r w:rsidR="006E769B">
              <w:rPr>
                <w:color w:val="000000" w:themeColor="text1"/>
              </w:rPr>
              <w:t xml:space="preserve">macro econ variables are </w:t>
            </w:r>
            <w:r w:rsidR="006E769B" w:rsidRPr="006E769B">
              <w:rPr>
                <w:color w:val="000000" w:themeColor="text1"/>
              </w:rPr>
              <w:t>transformed using different combinations of lags, di</w:t>
            </w:r>
            <w:r w:rsidR="006E769B">
              <w:rPr>
                <w:color w:val="000000" w:themeColor="text1"/>
              </w:rPr>
              <w:t>fferences, or percentage change.</w:t>
            </w:r>
            <w:r w:rsidR="006E769B" w:rsidRPr="006E769B">
              <w:rPr>
                <w:color w:val="000000" w:themeColor="text1"/>
              </w:rPr>
              <w:t xml:space="preserve"> </w:t>
            </w:r>
          </w:p>
          <w:p w:rsidR="00744B8B" w:rsidRPr="00744B8B" w:rsidRDefault="00744B8B" w:rsidP="00744B8B">
            <w:pPr>
              <w:pStyle w:val="NoSpacing"/>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rPr>
            </w:pPr>
            <w:r w:rsidRPr="00744B8B">
              <w:rPr>
                <w:b/>
                <w:color w:val="000000" w:themeColor="text1"/>
              </w:rPr>
              <w:t>Combination data:</w:t>
            </w:r>
            <w:r w:rsidRPr="00744B8B">
              <w:rPr>
                <w:color w:val="000000" w:themeColor="text1"/>
              </w:rPr>
              <w:t xml:space="preserve"> Current Loan to Value (CLTV) </w:t>
            </w:r>
          </w:p>
          <w:p w:rsidR="00744B8B" w:rsidRPr="00744B8B" w:rsidRDefault="00744B8B" w:rsidP="00744B8B">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90DE0" w:rsidTr="0013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0DE0" w:rsidRPr="00B90DE0" w:rsidRDefault="00744B8B" w:rsidP="00004E33">
            <w:pPr>
              <w:pStyle w:val="NoSpacing"/>
              <w:rPr>
                <w:color w:val="000000" w:themeColor="text1"/>
              </w:rPr>
            </w:pPr>
            <w:r>
              <w:rPr>
                <w:color w:val="000000" w:themeColor="text1"/>
              </w:rPr>
              <w:t>Step 3 (Implementation)</w:t>
            </w:r>
          </w:p>
        </w:tc>
        <w:tc>
          <w:tcPr>
            <w:tcW w:w="7661" w:type="dxa"/>
          </w:tcPr>
          <w:p w:rsidR="00B90DE0" w:rsidRPr="00B90DE0" w:rsidRDefault="006E769B" w:rsidP="006E769B">
            <w:pPr>
              <w:pStyle w:val="NoSpacing"/>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final models are implemented on SAS platform and bi-annual sensitivity runs are done and reported to the FED.  </w:t>
            </w:r>
          </w:p>
        </w:tc>
      </w:tr>
    </w:tbl>
    <w:p w:rsidR="00135010" w:rsidRDefault="00135010" w:rsidP="00E91F1D">
      <w:pPr>
        <w:pStyle w:val="NoSpacing"/>
        <w:rPr>
          <w:b/>
        </w:rPr>
      </w:pPr>
    </w:p>
    <w:p w:rsidR="00E91F1D" w:rsidRDefault="00E91F1D" w:rsidP="00E91F1D">
      <w:pPr>
        <w:pStyle w:val="NoSpacing"/>
      </w:pPr>
      <w:r w:rsidRPr="00E91F1D">
        <w:rPr>
          <w:b/>
        </w:rPr>
        <w:t>Macro-economic data:</w:t>
      </w:r>
      <w:r>
        <w:t xml:space="preserve"> During model development the historical macro econ data is used. Macro-economic variables were tested for inclusion in multifactor analysis by comparing correlations to historical transition rates. The pre-defined set of macroeconomic variables, transformations, and lags, was as follows:</w:t>
      </w:r>
    </w:p>
    <w:p w:rsidR="00E91F1D" w:rsidRDefault="00E91F1D" w:rsidP="00E91F1D">
      <w:pPr>
        <w:pStyle w:val="NoSpacing"/>
        <w:numPr>
          <w:ilvl w:val="0"/>
          <w:numId w:val="2"/>
        </w:numPr>
      </w:pPr>
      <w:r>
        <w:t>Variables: Home price index (HPI), Real Gross Domestic Product (</w:t>
      </w:r>
      <w:proofErr w:type="spellStart"/>
      <w:r>
        <w:t>rGDP</w:t>
      </w:r>
      <w:proofErr w:type="spellEnd"/>
      <w:r>
        <w:t>), Mortgage rate (MR) , Unemployment rate (UE), 10-Year Government Bond Yield and Consumer price index (CPI)</w:t>
      </w:r>
    </w:p>
    <w:p w:rsidR="00E91F1D" w:rsidRDefault="00E91F1D" w:rsidP="00E91F1D">
      <w:pPr>
        <w:pStyle w:val="NoSpacing"/>
        <w:numPr>
          <w:ilvl w:val="0"/>
          <w:numId w:val="2"/>
        </w:numPr>
      </w:pPr>
      <w:r>
        <w:t>Transformations: None, Difference year-over-year (</w:t>
      </w:r>
      <w:proofErr w:type="spellStart"/>
      <w:r>
        <w:t>Dyoy</w:t>
      </w:r>
      <w:proofErr w:type="spellEnd"/>
      <w:r>
        <w:t>), Difference quarter-over-quarter (</w:t>
      </w:r>
      <w:proofErr w:type="spellStart"/>
      <w:r>
        <w:t>Dqoq</w:t>
      </w:r>
      <w:proofErr w:type="spellEnd"/>
      <w:r>
        <w:t>), Percentage difference year-over-year (</w:t>
      </w:r>
      <w:proofErr w:type="spellStart"/>
      <w:r>
        <w:t>Pctyoy</w:t>
      </w:r>
      <w:proofErr w:type="spellEnd"/>
      <w:r>
        <w:t>), Percentage difference quarter-over-quarter (</w:t>
      </w:r>
      <w:proofErr w:type="spellStart"/>
      <w:r>
        <w:t>Pctqoq</w:t>
      </w:r>
      <w:proofErr w:type="spellEnd"/>
      <w:r>
        <w:t>) and 3-month moving average (D3MONMAVG)</w:t>
      </w:r>
    </w:p>
    <w:p w:rsidR="00E91F1D" w:rsidRDefault="00E91F1D" w:rsidP="00E91F1D">
      <w:pPr>
        <w:pStyle w:val="NoSpacing"/>
        <w:numPr>
          <w:ilvl w:val="0"/>
          <w:numId w:val="2"/>
        </w:numPr>
      </w:pPr>
      <w:r>
        <w:t xml:space="preserve">Lags: No lag, 3-mo lag, 6-mo lag, 9-mo lag and 12-mo lag </w:t>
      </w:r>
    </w:p>
    <w:p w:rsidR="00E91F1D" w:rsidRDefault="00E91F1D" w:rsidP="00E91F1D">
      <w:pPr>
        <w:pStyle w:val="NoSpacing"/>
      </w:pPr>
    </w:p>
    <w:p w:rsidR="00E91F1D" w:rsidRDefault="00E91F1D" w:rsidP="00E91F1D">
      <w:pPr>
        <w:pStyle w:val="NoSpacing"/>
      </w:pPr>
      <w:r>
        <w:t xml:space="preserve">During the sensitivity test the base, adverse, and </w:t>
      </w:r>
      <w:r w:rsidR="00447AC4">
        <w:t>severely adverse scenario macro-</w:t>
      </w:r>
      <w:r w:rsidR="004C3D93">
        <w:t>economic</w:t>
      </w:r>
      <w:r>
        <w:t xml:space="preserve"> values are used and corresponding default units, default balances, GCLs and NCLs are reported.</w:t>
      </w:r>
    </w:p>
    <w:p w:rsidR="004C3D93" w:rsidRDefault="004C3D93" w:rsidP="00E91F1D">
      <w:pPr>
        <w:pStyle w:val="NoSpacing"/>
      </w:pPr>
    </w:p>
    <w:p w:rsidR="004C3D93" w:rsidRDefault="004C3D93">
      <w:r>
        <w:br w:type="page"/>
      </w:r>
    </w:p>
    <w:p w:rsidR="003D26B0" w:rsidRDefault="003D26B0" w:rsidP="00E91F1D">
      <w:pPr>
        <w:pStyle w:val="NoSpacing"/>
        <w:rPr>
          <w:b/>
          <w:sz w:val="18"/>
          <w:szCs w:val="18"/>
        </w:rPr>
        <w:sectPr w:rsidR="003D26B0">
          <w:pgSz w:w="12240" w:h="15840"/>
          <w:pgMar w:top="1440" w:right="1440" w:bottom="1440" w:left="1440" w:header="720" w:footer="720" w:gutter="0"/>
          <w:cols w:space="720"/>
          <w:docGrid w:linePitch="360"/>
        </w:sectPr>
      </w:pPr>
    </w:p>
    <w:p w:rsidR="00E309D0" w:rsidRDefault="005B12AB" w:rsidP="005B12AB">
      <w:pPr>
        <w:pStyle w:val="Heading1"/>
      </w:pPr>
      <w:bookmarkStart w:id="0" w:name="_GoBack"/>
      <w:bookmarkEnd w:id="0"/>
      <w:r>
        <w:lastRenderedPageBreak/>
        <w:t>Univariate Analysis</w:t>
      </w:r>
      <w:r w:rsidR="00583E1A">
        <w:t xml:space="preserve"> (ST4)</w:t>
      </w:r>
      <w:r w:rsidR="00FB298F">
        <w:t>:</w:t>
      </w:r>
    </w:p>
    <w:p w:rsidR="005B12AB" w:rsidRDefault="00583E1A" w:rsidP="00583E1A">
      <w:pPr>
        <w:pStyle w:val="NoSpacing"/>
      </w:pPr>
      <w:r w:rsidRPr="001E264D">
        <w:rPr>
          <w:b/>
        </w:rPr>
        <w:t>To evaluate the responsiveness of the model to different economic scenarios, each macroeconomic series, were shocked (shifted from the base scenario to the severely adverse scenario) in the forecast period independently.</w:t>
      </w:r>
      <w:r>
        <w:t xml:space="preserve"> The results were evaluated and compared to the original base forecasts for the Mortgage model from a quarterly and cumulative perspective. The analysis demonstrates the individual impact of each variable on the severely adverse scenario output, holding all other model factors constant.</w:t>
      </w:r>
    </w:p>
    <w:p w:rsidR="00FB298F" w:rsidRDefault="00FB298F" w:rsidP="00583E1A">
      <w:pPr>
        <w:pStyle w:val="NoSpacing"/>
      </w:pPr>
    </w:p>
    <w:p w:rsidR="00FB298F" w:rsidRPr="00BF6E38" w:rsidRDefault="00FB298F" w:rsidP="00FB298F">
      <w:pPr>
        <w:pStyle w:val="NoSpacing"/>
        <w:rPr>
          <w:b/>
          <w:sz w:val="18"/>
          <w:szCs w:val="18"/>
        </w:rPr>
      </w:pPr>
      <w:r>
        <w:rPr>
          <w:b/>
          <w:sz w:val="18"/>
          <w:szCs w:val="18"/>
        </w:rPr>
        <w:t>Figure 3</w:t>
      </w:r>
      <w:r w:rsidRPr="00BF6E38">
        <w:rPr>
          <w:b/>
          <w:sz w:val="18"/>
          <w:szCs w:val="18"/>
        </w:rPr>
        <w:t xml:space="preserve">: </w:t>
      </w:r>
      <w:r>
        <w:rPr>
          <w:b/>
          <w:sz w:val="18"/>
          <w:szCs w:val="18"/>
        </w:rPr>
        <w:t xml:space="preserve">Unemployment Rate – Base vs Severely Adverse </w:t>
      </w:r>
    </w:p>
    <w:p w:rsidR="00FB298F" w:rsidRDefault="00FB298F" w:rsidP="00583E1A">
      <w:pPr>
        <w:pStyle w:val="NoSpacing"/>
      </w:pPr>
      <w:r>
        <w:rPr>
          <w:noProof/>
        </w:rPr>
        <w:drawing>
          <wp:inline distT="0" distB="0" distL="0" distR="0" wp14:anchorId="60F0B535" wp14:editId="0D64AEDD">
            <wp:extent cx="6016499" cy="2011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499" cy="2011680"/>
                    </a:xfrm>
                    <a:prstGeom prst="rect">
                      <a:avLst/>
                    </a:prstGeom>
                    <a:noFill/>
                  </pic:spPr>
                </pic:pic>
              </a:graphicData>
            </a:graphic>
          </wp:inline>
        </w:drawing>
      </w:r>
    </w:p>
    <w:p w:rsidR="00FB298F" w:rsidRDefault="00FB298F" w:rsidP="00583E1A">
      <w:pPr>
        <w:pStyle w:val="NoSpacing"/>
      </w:pPr>
    </w:p>
    <w:p w:rsidR="00583E1A" w:rsidRDefault="00583E1A" w:rsidP="00583E1A">
      <w:pPr>
        <w:pStyle w:val="NoSpacing"/>
      </w:pPr>
      <w:r w:rsidRPr="00583E1A">
        <w:rPr>
          <w:b/>
        </w:rPr>
        <w:t xml:space="preserve">Example: </w:t>
      </w:r>
      <w:r>
        <w:t>The final Mortgage Model specifications includ</w:t>
      </w:r>
      <w:r w:rsidR="00E40340">
        <w:t xml:space="preserve">e four macroeconomic variables - </w:t>
      </w:r>
      <w:r>
        <w:t xml:space="preserve">HPI, Real GDP, Unemployment Rate, and Mortgage Rate. In addition, collateral haircut applied in the model varies by base and stress economic environments. </w:t>
      </w:r>
      <w:r w:rsidR="00FB298F" w:rsidRPr="004C3D93">
        <w:rPr>
          <w:b/>
        </w:rPr>
        <w:t xml:space="preserve">The chart shows the contribution to NCL by individual variables. </w:t>
      </w:r>
    </w:p>
    <w:p w:rsidR="00583E1A" w:rsidRDefault="00583E1A" w:rsidP="00583E1A">
      <w:pPr>
        <w:pStyle w:val="NoSpacing"/>
      </w:pPr>
    </w:p>
    <w:p w:rsidR="00583E1A" w:rsidRPr="00BF6E38" w:rsidRDefault="00FB298F" w:rsidP="00583E1A">
      <w:pPr>
        <w:pStyle w:val="NoSpacing"/>
        <w:rPr>
          <w:b/>
          <w:sz w:val="18"/>
          <w:szCs w:val="18"/>
        </w:rPr>
      </w:pPr>
      <w:r>
        <w:rPr>
          <w:b/>
          <w:sz w:val="18"/>
          <w:szCs w:val="18"/>
        </w:rPr>
        <w:t>Figure 4</w:t>
      </w:r>
      <w:r w:rsidR="00583E1A" w:rsidRPr="00BF6E38">
        <w:rPr>
          <w:b/>
          <w:sz w:val="18"/>
          <w:szCs w:val="18"/>
        </w:rPr>
        <w:t>: The following chart highlights the cumulative impact of each individual factor</w:t>
      </w:r>
    </w:p>
    <w:p w:rsidR="00583E1A" w:rsidRDefault="00583E1A" w:rsidP="00583E1A">
      <w:pPr>
        <w:pStyle w:val="NoSpacing"/>
      </w:pPr>
      <w:r>
        <w:rPr>
          <w:noProof/>
        </w:rPr>
        <w:drawing>
          <wp:inline distT="0" distB="0" distL="0" distR="0" wp14:anchorId="6A950A62" wp14:editId="72BC30FC">
            <wp:extent cx="6037045" cy="2286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045" cy="2286000"/>
                    </a:xfrm>
                    <a:prstGeom prst="rect">
                      <a:avLst/>
                    </a:prstGeom>
                    <a:noFill/>
                  </pic:spPr>
                </pic:pic>
              </a:graphicData>
            </a:graphic>
          </wp:inline>
        </w:drawing>
      </w:r>
    </w:p>
    <w:p w:rsidR="00583E1A" w:rsidRDefault="00583E1A" w:rsidP="00583E1A">
      <w:pPr>
        <w:pStyle w:val="NoSpacing"/>
      </w:pPr>
    </w:p>
    <w:p w:rsidR="00BF6E38" w:rsidRDefault="00BF6E38" w:rsidP="00BF6E38">
      <w:pPr>
        <w:pStyle w:val="NoSpacing"/>
        <w:tabs>
          <w:tab w:val="left" w:pos="1035"/>
        </w:tabs>
      </w:pPr>
      <w:r>
        <w:t>The chart above breaks out the walk from base to stress and shows that all variables contribute to the model sensitivity. HPI contributes approximately 37.5% of the total impact (15 MM out of 4</w:t>
      </w:r>
      <w:r w:rsidR="00FB298F">
        <w:t>0</w:t>
      </w:r>
      <w:r>
        <w:t xml:space="preserve"> MM total NCL)</w:t>
      </w:r>
      <w:r w:rsidR="00BB5E32">
        <w:t xml:space="preserve"> whereas Mortgage Rate contributes approximately 12.5%</w:t>
      </w:r>
      <w:r w:rsidR="00BB5E32" w:rsidRPr="00BB5E32">
        <w:t xml:space="preserve"> </w:t>
      </w:r>
      <w:r w:rsidR="00BB5E32">
        <w:t xml:space="preserve">of the total impact. </w:t>
      </w:r>
    </w:p>
    <w:p w:rsidR="00BB5E32" w:rsidRDefault="00BB5E32" w:rsidP="00BF6E38">
      <w:pPr>
        <w:pStyle w:val="NoSpacing"/>
        <w:tabs>
          <w:tab w:val="left" w:pos="1035"/>
        </w:tabs>
      </w:pPr>
    </w:p>
    <w:p w:rsidR="00BB5E32" w:rsidRDefault="00BB5E32" w:rsidP="00BF6E38">
      <w:pPr>
        <w:pStyle w:val="NoSpacing"/>
        <w:tabs>
          <w:tab w:val="left" w:pos="1035"/>
        </w:tabs>
      </w:pPr>
      <w:r w:rsidRPr="00BB5E32">
        <w:rPr>
          <w:b/>
        </w:rPr>
        <w:lastRenderedPageBreak/>
        <w:t xml:space="preserve">Conclusion: </w:t>
      </w:r>
      <w:r>
        <w:t xml:space="preserve">The model is most sensitive to HPI followed by Mortgage rate. </w:t>
      </w:r>
    </w:p>
    <w:p w:rsidR="005E7167" w:rsidRDefault="005E7167" w:rsidP="005E7167">
      <w:pPr>
        <w:pStyle w:val="Heading1"/>
      </w:pPr>
      <w:r>
        <w:t>Collateral Haircut</w:t>
      </w:r>
      <w:r w:rsidR="00FB298F">
        <w:t xml:space="preserve"> (ST5):</w:t>
      </w:r>
    </w:p>
    <w:p w:rsidR="005E7167" w:rsidRDefault="005E7167" w:rsidP="005E7167">
      <w:pPr>
        <w:pStyle w:val="NoSpacing"/>
        <w:tabs>
          <w:tab w:val="left" w:pos="1035"/>
        </w:tabs>
      </w:pPr>
      <w:r>
        <w:t>The impact of the collateral haircut on the performance metrics (GCL) is evaluated by fixing the haircut base assumption in increments of 0.05 (11 groups) and comparing the gross credit losses for each haircut assumption used. The results are shown in the figure below.</w:t>
      </w:r>
    </w:p>
    <w:p w:rsidR="002C6179" w:rsidRDefault="002C6179" w:rsidP="005E7167">
      <w:pPr>
        <w:pStyle w:val="NoSpacing"/>
        <w:tabs>
          <w:tab w:val="left" w:pos="1035"/>
        </w:tabs>
      </w:pPr>
    </w:p>
    <w:p w:rsidR="002C6179" w:rsidRDefault="00FB298F" w:rsidP="005E7167">
      <w:pPr>
        <w:pStyle w:val="NoSpacing"/>
        <w:tabs>
          <w:tab w:val="left" w:pos="1035"/>
        </w:tabs>
        <w:rPr>
          <w:b/>
          <w:sz w:val="18"/>
          <w:szCs w:val="18"/>
        </w:rPr>
      </w:pPr>
      <w:r>
        <w:rPr>
          <w:b/>
          <w:sz w:val="18"/>
          <w:szCs w:val="18"/>
        </w:rPr>
        <w:t>Figure 5</w:t>
      </w:r>
      <w:r w:rsidR="005E7167" w:rsidRPr="002C6179">
        <w:rPr>
          <w:b/>
          <w:sz w:val="18"/>
          <w:szCs w:val="18"/>
        </w:rPr>
        <w:t>: Sensitivity of GCL to Changes in th</w:t>
      </w:r>
      <w:r w:rsidR="002C6179">
        <w:rPr>
          <w:b/>
          <w:sz w:val="18"/>
          <w:szCs w:val="18"/>
        </w:rPr>
        <w:t>e Collateral Haircut Assumption</w:t>
      </w:r>
      <w:r w:rsidR="005E7167">
        <w:t xml:space="preserve"> </w:t>
      </w:r>
    </w:p>
    <w:p w:rsidR="002C6179" w:rsidRDefault="002C6179" w:rsidP="002C6179">
      <w:r>
        <w:rPr>
          <w:noProof/>
        </w:rPr>
        <w:drawing>
          <wp:inline distT="0" distB="0" distL="0" distR="0" wp14:anchorId="38B01627" wp14:editId="564EB181">
            <wp:extent cx="5943600" cy="2251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1364"/>
                    </a:xfrm>
                    <a:prstGeom prst="rect">
                      <a:avLst/>
                    </a:prstGeom>
                    <a:noFill/>
                  </pic:spPr>
                </pic:pic>
              </a:graphicData>
            </a:graphic>
          </wp:inline>
        </w:drawing>
      </w:r>
    </w:p>
    <w:p w:rsidR="00BB5E32" w:rsidRDefault="005E7167" w:rsidP="005E7167">
      <w:pPr>
        <w:pStyle w:val="NoSpacing"/>
        <w:tabs>
          <w:tab w:val="left" w:pos="1035"/>
        </w:tabs>
      </w:pPr>
      <w:r w:rsidRPr="00FB298F">
        <w:rPr>
          <w:b/>
        </w:rPr>
        <w:t>As shown in the figure, the higher the collateral haircut base value applied in the model, the larger the gross credit losses for the Mortgage portfolio.</w:t>
      </w:r>
      <w:r>
        <w:t xml:space="preserve"> This is consistent with expectations as higher haircuts imply lower distressed collateral values, and consequently larger gross credit losses. </w:t>
      </w:r>
    </w:p>
    <w:p w:rsidR="00BF6E38" w:rsidRDefault="00BF6E38" w:rsidP="003C5145">
      <w:pPr>
        <w:pStyle w:val="NoSpacing"/>
      </w:pPr>
    </w:p>
    <w:p w:rsidR="005B12AB" w:rsidRDefault="005B12AB" w:rsidP="003C5145">
      <w:pPr>
        <w:pStyle w:val="NoSpacing"/>
      </w:pPr>
    </w:p>
    <w:sectPr w:rsidR="005B1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88" w:rsidRDefault="00E37588" w:rsidP="00E309D0">
      <w:pPr>
        <w:spacing w:after="0" w:line="240" w:lineRule="auto"/>
      </w:pPr>
      <w:r>
        <w:separator/>
      </w:r>
    </w:p>
  </w:endnote>
  <w:endnote w:type="continuationSeparator" w:id="0">
    <w:p w:rsidR="00E37588" w:rsidRDefault="00E37588" w:rsidP="00E3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88" w:rsidRDefault="00E37588" w:rsidP="00E309D0">
      <w:pPr>
        <w:spacing w:after="0" w:line="240" w:lineRule="auto"/>
      </w:pPr>
      <w:r>
        <w:separator/>
      </w:r>
    </w:p>
  </w:footnote>
  <w:footnote w:type="continuationSeparator" w:id="0">
    <w:p w:rsidR="00E37588" w:rsidRDefault="00E37588" w:rsidP="00E30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555"/>
    <w:multiLevelType w:val="hybridMultilevel"/>
    <w:tmpl w:val="E8F6E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8951AEC"/>
    <w:multiLevelType w:val="hybridMultilevel"/>
    <w:tmpl w:val="F7D0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434"/>
    <w:rsid w:val="000F2A05"/>
    <w:rsid w:val="00107E1D"/>
    <w:rsid w:val="00135010"/>
    <w:rsid w:val="001E264D"/>
    <w:rsid w:val="002C6179"/>
    <w:rsid w:val="003C5145"/>
    <w:rsid w:val="003D26B0"/>
    <w:rsid w:val="003F5FF2"/>
    <w:rsid w:val="00432076"/>
    <w:rsid w:val="00447AC4"/>
    <w:rsid w:val="00484F0F"/>
    <w:rsid w:val="004C3D93"/>
    <w:rsid w:val="00583E1A"/>
    <w:rsid w:val="005B12AB"/>
    <w:rsid w:val="005C36E3"/>
    <w:rsid w:val="005E7167"/>
    <w:rsid w:val="006E769B"/>
    <w:rsid w:val="00744B8B"/>
    <w:rsid w:val="00895918"/>
    <w:rsid w:val="00916434"/>
    <w:rsid w:val="00B07C22"/>
    <w:rsid w:val="00B449A6"/>
    <w:rsid w:val="00B90DE0"/>
    <w:rsid w:val="00BB5E32"/>
    <w:rsid w:val="00BF6E38"/>
    <w:rsid w:val="00CC5B22"/>
    <w:rsid w:val="00E309D0"/>
    <w:rsid w:val="00E37588"/>
    <w:rsid w:val="00E37BF7"/>
    <w:rsid w:val="00E40340"/>
    <w:rsid w:val="00E53951"/>
    <w:rsid w:val="00E91F1D"/>
    <w:rsid w:val="00F71930"/>
    <w:rsid w:val="00FB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36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6E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C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36E3"/>
    <w:pPr>
      <w:spacing w:after="0" w:line="240" w:lineRule="auto"/>
    </w:pPr>
  </w:style>
  <w:style w:type="table" w:styleId="LightShading-Accent1">
    <w:name w:val="Light Shading Accent 1"/>
    <w:basedOn w:val="TableNormal"/>
    <w:uiPriority w:val="60"/>
    <w:rsid w:val="003F5FF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8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0F"/>
    <w:rPr>
      <w:rFonts w:ascii="Tahoma" w:hAnsi="Tahoma" w:cs="Tahoma"/>
      <w:sz w:val="16"/>
      <w:szCs w:val="16"/>
    </w:rPr>
  </w:style>
  <w:style w:type="paragraph" w:styleId="Header">
    <w:name w:val="header"/>
    <w:basedOn w:val="Normal"/>
    <w:link w:val="HeaderChar"/>
    <w:uiPriority w:val="99"/>
    <w:unhideWhenUsed/>
    <w:rsid w:val="00E3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9D0"/>
  </w:style>
  <w:style w:type="paragraph" w:styleId="Footer">
    <w:name w:val="footer"/>
    <w:basedOn w:val="Normal"/>
    <w:link w:val="FooterChar"/>
    <w:uiPriority w:val="99"/>
    <w:unhideWhenUsed/>
    <w:rsid w:val="00E3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9D0"/>
  </w:style>
  <w:style w:type="table" w:styleId="LightShading-Accent2">
    <w:name w:val="Light Shading Accent 2"/>
    <w:basedOn w:val="TableNormal"/>
    <w:uiPriority w:val="60"/>
    <w:rsid w:val="00CC5B2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36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6E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C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36E3"/>
    <w:pPr>
      <w:spacing w:after="0" w:line="240" w:lineRule="auto"/>
    </w:pPr>
  </w:style>
  <w:style w:type="table" w:styleId="LightShading-Accent1">
    <w:name w:val="Light Shading Accent 1"/>
    <w:basedOn w:val="TableNormal"/>
    <w:uiPriority w:val="60"/>
    <w:rsid w:val="003F5FF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8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F0F"/>
    <w:rPr>
      <w:rFonts w:ascii="Tahoma" w:hAnsi="Tahoma" w:cs="Tahoma"/>
      <w:sz w:val="16"/>
      <w:szCs w:val="16"/>
    </w:rPr>
  </w:style>
  <w:style w:type="paragraph" w:styleId="Header">
    <w:name w:val="header"/>
    <w:basedOn w:val="Normal"/>
    <w:link w:val="HeaderChar"/>
    <w:uiPriority w:val="99"/>
    <w:unhideWhenUsed/>
    <w:rsid w:val="00E3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9D0"/>
  </w:style>
  <w:style w:type="paragraph" w:styleId="Footer">
    <w:name w:val="footer"/>
    <w:basedOn w:val="Normal"/>
    <w:link w:val="FooterChar"/>
    <w:uiPriority w:val="99"/>
    <w:unhideWhenUsed/>
    <w:rsid w:val="00E3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9D0"/>
  </w:style>
  <w:style w:type="table" w:styleId="LightShading-Accent2">
    <w:name w:val="Light Shading Accent 2"/>
    <w:basedOn w:val="TableNormal"/>
    <w:uiPriority w:val="60"/>
    <w:rsid w:val="00CC5B2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331079">
      <w:bodyDiv w:val="1"/>
      <w:marLeft w:val="0"/>
      <w:marRight w:val="0"/>
      <w:marTop w:val="0"/>
      <w:marBottom w:val="0"/>
      <w:divBdr>
        <w:top w:val="none" w:sz="0" w:space="0" w:color="auto"/>
        <w:left w:val="none" w:sz="0" w:space="0" w:color="auto"/>
        <w:bottom w:val="none" w:sz="0" w:space="0" w:color="auto"/>
        <w:right w:val="none" w:sz="0" w:space="0" w:color="auto"/>
      </w:divBdr>
    </w:div>
    <w:div w:id="10807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FF1FB-92B5-409A-9718-941E4C64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Rohit1 [RISK NE]</dc:creator>
  <cp:keywords/>
  <dc:description/>
  <cp:lastModifiedBy>Garg, Rohit1 [RISK NE]</cp:lastModifiedBy>
  <cp:revision>17</cp:revision>
  <dcterms:created xsi:type="dcterms:W3CDTF">2018-06-05T10:12:00Z</dcterms:created>
  <dcterms:modified xsi:type="dcterms:W3CDTF">2018-06-06T11:39:00Z</dcterms:modified>
</cp:coreProperties>
</file>