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Cryptanalysis of Threshold ML-DSA Proposals in the NIST MPTC First Call: A Literature Survey and Problem Formulation</w:t>
      </w:r>
    </w:p>
    <w:p>
      <w:pPr>
        <w:jc w:val="center"/>
      </w:pPr>
      <w:r>
        <w:rPr>
          <w:rFonts w:ascii="Times New Roman" w:hAnsi="Times New Roman"/>
          <w:b w:val="0"/>
          <w:i w:val="0"/>
          <w:sz w:val="20"/>
        </w:rPr>
        <w:t>Project Phase 1 Report – Cryptography, BITS Pilani, Dubai Campus</w:t>
      </w:r>
    </w:p>
    <w:p>
      <w:pPr>
        <w:jc w:val="center"/>
      </w:pPr>
      <w:r>
        <w:rPr>
          <w:rFonts w:ascii="Times New Roman" w:hAnsi="Times New Roman"/>
          <w:b w:val="0"/>
          <w:i/>
          <w:sz w:val="20"/>
        </w:rPr>
        <w:t>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twenty-three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II-C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945"/>
            <w:shd w:val="clear" w:color="auto" w:fill="D9D9D9"/>
          </w:tcPr>
          <w:p>
            <w:pPr>
              <w:spacing w:after="0"/>
            </w:pPr>
            <w:r/>
            <w:r>
              <w:rPr>
                <w:rFonts w:ascii="Times New Roman" w:hAnsi="Times New Roman"/>
                <w:b/>
                <w:i w:val="0"/>
                <w:sz w:val="16"/>
              </w:rPr>
              <w:t>Set</w:t>
            </w:r>
          </w:p>
        </w:tc>
        <w:tc>
          <w:tcPr>
            <w:tcW w:type="dxa" w:w="859"/>
            <w:shd w:val="clear" w:color="auto" w:fill="D9D9D9"/>
          </w:tcPr>
          <w:p>
            <w:pPr>
              <w:spacing w:after="0"/>
            </w:pPr>
            <w:r/>
            <w:r>
              <w:rPr>
                <w:rFonts w:ascii="Times New Roman" w:hAnsi="Times New Roman"/>
                <w:b/>
                <w:i w:val="0"/>
                <w:sz w:val="16"/>
              </w:rPr>
              <w:t>NIST category</w:t>
            </w:r>
          </w:p>
        </w:tc>
        <w:tc>
          <w:tcPr>
            <w:tcW w:type="dxa" w:w="687"/>
            <w:shd w:val="clear" w:color="auto" w:fill="D9D9D9"/>
          </w:tcPr>
          <w:p>
            <w:pPr>
              <w:spacing w:after="0"/>
            </w:pPr>
            <w:r/>
            <w:r>
              <w:rPr>
                <w:rFonts w:ascii="Times New Roman" w:hAnsi="Times New Roman"/>
                <w:b/>
                <w:i w:val="0"/>
                <w:sz w:val="16"/>
              </w:rPr>
              <w:t>(k, ℓ)</w:t>
            </w:r>
          </w:p>
        </w:tc>
        <w:tc>
          <w:tcPr>
            <w:tcW w:type="dxa" w:w="429"/>
            <w:shd w:val="clear" w:color="auto" w:fill="D9D9D9"/>
          </w:tcPr>
          <w:p>
            <w:pPr>
              <w:spacing w:after="0"/>
            </w:pPr>
            <w:r/>
            <w:r>
              <w:rPr>
                <w:rFonts w:ascii="Times New Roman" w:hAnsi="Times New Roman"/>
                <w:b/>
                <w:i w:val="0"/>
                <w:sz w:val="16"/>
              </w:rPr>
              <w:t>η</w:t>
            </w:r>
          </w:p>
        </w:tc>
        <w:tc>
          <w:tcPr>
            <w:tcW w:type="dxa" w:w="429"/>
            <w:shd w:val="clear" w:color="auto" w:fill="D9D9D9"/>
          </w:tcPr>
          <w:p>
            <w:pPr>
              <w:spacing w:after="0"/>
            </w:pPr>
            <w:r/>
            <w:r>
              <w:rPr>
                <w:rFonts w:ascii="Times New Roman" w:hAnsi="Times New Roman"/>
                <w:b/>
                <w:i w:val="0"/>
                <w:sz w:val="16"/>
              </w:rPr>
              <w:t>τ</w:t>
            </w:r>
          </w:p>
        </w:tc>
        <w:tc>
          <w:tcPr>
            <w:tcW w:type="dxa" w:w="601"/>
            <w:shd w:val="clear" w:color="auto" w:fill="D9D9D9"/>
          </w:tcPr>
          <w:p>
            <w:pPr>
              <w:spacing w:after="0"/>
            </w:pPr>
            <w:r/>
            <w:r>
              <w:rPr>
                <w:rFonts w:ascii="Times New Roman" w:hAnsi="Times New Roman"/>
                <w:b/>
                <w:i w:val="0"/>
                <w:sz w:val="16"/>
              </w:rPr>
              <w:t>γ1</w:t>
            </w:r>
          </w:p>
        </w:tc>
        <w:tc>
          <w:tcPr>
            <w:tcW w:type="dxa" w:w="945"/>
            <w:shd w:val="clear" w:color="auto" w:fill="D9D9D9"/>
          </w:tcPr>
          <w:p>
            <w:pPr>
              <w:spacing w:after="0"/>
            </w:pPr>
            <w:r/>
            <w:r>
              <w:rPr>
                <w:rFonts w:ascii="Times New Roman" w:hAnsi="Times New Roman"/>
                <w:b/>
                <w:i w:val="0"/>
                <w:sz w:val="16"/>
              </w:rPr>
              <w:t>γ2</w:t>
            </w:r>
          </w:p>
        </w:tc>
      </w:tr>
      <w:tr>
        <w:tc>
          <w:tcPr>
            <w:tcW w:type="dxa" w:w="945"/>
          </w:tcPr>
          <w:p>
            <w:pPr>
              <w:spacing w:after="0"/>
            </w:pPr>
            <w:r/>
            <w:r>
              <w:rPr>
                <w:rFonts w:ascii="Times New Roman" w:hAnsi="Times New Roman"/>
                <w:b w:val="0"/>
                <w:i w:val="0"/>
                <w:sz w:val="16"/>
              </w:rPr>
              <w:t>ML-DSA-44</w:t>
            </w:r>
          </w:p>
        </w:tc>
        <w:tc>
          <w:tcPr>
            <w:tcW w:type="dxa" w:w="859"/>
          </w:tcPr>
          <w:p>
            <w:pPr>
              <w:spacing w:after="0"/>
            </w:pPr>
            <w:r/>
            <w:r>
              <w:rPr>
                <w:rFonts w:ascii="Times New Roman" w:hAnsi="Times New Roman"/>
                <w:b w:val="0"/>
                <w:i w:val="0"/>
                <w:sz w:val="16"/>
              </w:rPr>
              <w:t>2</w:t>
            </w:r>
          </w:p>
        </w:tc>
        <w:tc>
          <w:tcPr>
            <w:tcW w:type="dxa" w:w="687"/>
          </w:tcPr>
          <w:p>
            <w:pPr>
              <w:spacing w:after="0"/>
            </w:pPr>
            <w:r/>
            <w:r>
              <w:rPr>
                <w:rFonts w:ascii="Times New Roman" w:hAnsi="Times New Roman"/>
                <w:b w:val="0"/>
                <w:i w:val="0"/>
                <w:sz w:val="16"/>
              </w:rPr>
              <w:t>(4, 4)</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39</w:t>
            </w:r>
          </w:p>
        </w:tc>
        <w:tc>
          <w:tcPr>
            <w:tcW w:type="dxa" w:w="601"/>
          </w:tcPr>
          <w:p>
            <w:pPr>
              <w:spacing w:after="0"/>
            </w:pPr>
            <w:r/>
            <w:r>
              <w:rPr>
                <w:rFonts w:ascii="Times New Roman" w:hAnsi="Times New Roman"/>
                <w:b w:val="0"/>
                <w:i w:val="0"/>
                <w:sz w:val="16"/>
              </w:rPr>
              <w:t>2^17</w:t>
            </w:r>
          </w:p>
        </w:tc>
        <w:tc>
          <w:tcPr>
            <w:tcW w:type="dxa" w:w="945"/>
          </w:tcPr>
          <w:p>
            <w:pPr>
              <w:spacing w:after="0"/>
            </w:pPr>
            <w:r/>
            <w:r>
              <w:rPr>
                <w:rFonts w:ascii="Times New Roman" w:hAnsi="Times New Roman"/>
                <w:b w:val="0"/>
                <w:i w:val="0"/>
                <w:sz w:val="16"/>
              </w:rPr>
              <w:t>(q−1)/88</w:t>
            </w:r>
          </w:p>
        </w:tc>
      </w:tr>
      <w:tr>
        <w:tc>
          <w:tcPr>
            <w:tcW w:type="dxa" w:w="945"/>
          </w:tcPr>
          <w:p>
            <w:pPr>
              <w:spacing w:after="0"/>
            </w:pPr>
            <w:r/>
            <w:r>
              <w:rPr>
                <w:rFonts w:ascii="Times New Roman" w:hAnsi="Times New Roman"/>
                <w:b w:val="0"/>
                <w:i w:val="0"/>
                <w:sz w:val="16"/>
              </w:rPr>
              <w:t>ML-DSA-65</w:t>
            </w:r>
          </w:p>
        </w:tc>
        <w:tc>
          <w:tcPr>
            <w:tcW w:type="dxa" w:w="859"/>
          </w:tcPr>
          <w:p>
            <w:pPr>
              <w:spacing w:after="0"/>
            </w:pPr>
            <w:r/>
            <w:r>
              <w:rPr>
                <w:rFonts w:ascii="Times New Roman" w:hAnsi="Times New Roman"/>
                <w:b w:val="0"/>
                <w:i w:val="0"/>
                <w:sz w:val="16"/>
              </w:rPr>
              <w:t>3</w:t>
            </w:r>
          </w:p>
        </w:tc>
        <w:tc>
          <w:tcPr>
            <w:tcW w:type="dxa" w:w="687"/>
          </w:tcPr>
          <w:p>
            <w:pPr>
              <w:spacing w:after="0"/>
            </w:pPr>
            <w:r/>
            <w:r>
              <w:rPr>
                <w:rFonts w:ascii="Times New Roman" w:hAnsi="Times New Roman"/>
                <w:b w:val="0"/>
                <w:i w:val="0"/>
                <w:sz w:val="16"/>
              </w:rPr>
              <w:t>(6, 5)</w:t>
            </w:r>
          </w:p>
        </w:tc>
        <w:tc>
          <w:tcPr>
            <w:tcW w:type="dxa" w:w="429"/>
          </w:tcPr>
          <w:p>
            <w:pPr>
              <w:spacing w:after="0"/>
            </w:pPr>
            <w:r/>
            <w:r>
              <w:rPr>
                <w:rFonts w:ascii="Times New Roman" w:hAnsi="Times New Roman"/>
                <w:b w:val="0"/>
                <w:i w:val="0"/>
                <w:sz w:val="16"/>
              </w:rPr>
              <w:t>4</w:t>
            </w:r>
          </w:p>
        </w:tc>
        <w:tc>
          <w:tcPr>
            <w:tcW w:type="dxa" w:w="429"/>
          </w:tcPr>
          <w:p>
            <w:pPr>
              <w:spacing w:after="0"/>
            </w:pPr>
            <w:r/>
            <w:r>
              <w:rPr>
                <w:rFonts w:ascii="Times New Roman" w:hAnsi="Times New Roman"/>
                <w:b w:val="0"/>
                <w:i w:val="0"/>
                <w:sz w:val="16"/>
              </w:rPr>
              <w:t>49</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r>
        <w:tc>
          <w:tcPr>
            <w:tcW w:type="dxa" w:w="945"/>
          </w:tcPr>
          <w:p>
            <w:pPr>
              <w:spacing w:after="0"/>
            </w:pPr>
            <w:r/>
            <w:r>
              <w:rPr>
                <w:rFonts w:ascii="Times New Roman" w:hAnsi="Times New Roman"/>
                <w:b w:val="0"/>
                <w:i w:val="0"/>
                <w:sz w:val="16"/>
              </w:rPr>
              <w:t>ML-DSA-87</w:t>
            </w:r>
          </w:p>
        </w:tc>
        <w:tc>
          <w:tcPr>
            <w:tcW w:type="dxa" w:w="859"/>
          </w:tcPr>
          <w:p>
            <w:pPr>
              <w:spacing w:after="0"/>
            </w:pPr>
            <w:r/>
            <w:r>
              <w:rPr>
                <w:rFonts w:ascii="Times New Roman" w:hAnsi="Times New Roman"/>
                <w:b w:val="0"/>
                <w:i w:val="0"/>
                <w:sz w:val="16"/>
              </w:rPr>
              <w:t>5</w:t>
            </w:r>
          </w:p>
        </w:tc>
        <w:tc>
          <w:tcPr>
            <w:tcW w:type="dxa" w:w="687"/>
          </w:tcPr>
          <w:p>
            <w:pPr>
              <w:spacing w:after="0"/>
            </w:pPr>
            <w:r/>
            <w:r>
              <w:rPr>
                <w:rFonts w:ascii="Times New Roman" w:hAnsi="Times New Roman"/>
                <w:b w:val="0"/>
                <w:i w:val="0"/>
                <w:sz w:val="16"/>
              </w:rPr>
              <w:t>(8, 7)</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60</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II-C.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Survey methodology.</w:t>
      </w:r>
      <w:r>
        <w:rPr>
          <w:rFonts w:ascii="Times New Roman" w:hAnsi="Times New Roman"/>
          <w:b w:val="0"/>
          <w:i w:val="0"/>
          <w:sz w:val="20"/>
        </w:rPr>
        <w:t xml:space="preserve"> Sources were collected in three passes. First, the submissions page of the NIST First Call gave the four proposals and their preview writeups. Second, each proposal's ePrint or arXiv entry and its listed predecessors were followed, which produced the Mithril, Quorus, Trilithium, TALUS and Kao papers and the withdrawn preliminary versions. Third, searches for “Dilithium rejected signatures ILP”, “ILWE”, and “threshold lattice signatures” on ePrint, TCHES and proceedings of EUROCRYPT and ASIACRYPT surfaced the cryptanalytic literature. Inclusion required that a source either define a threshold ML-DSA construction, attack one, or supply a technique used by such an attack. Abstracts and metadata of 18 sources were verified online on 1 October 2026; five classical references are cited from memory and flagged for re-verification. The selection is deliberately weighted toward 2024–2026 because the area did not exist as a field before 2024.</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implementation code was run and no experiments have been performed yet. Hypotheses below are labelled as such.</w:t>
      </w:r>
    </w:p>
    <w:p>
      <w:pPr>
        <w:keepNext/>
        <w:spacing w:before="160" w:after="60"/>
        <w:jc w:val="center"/>
      </w:pPr>
      <w:r>
        <w:rPr>
          <w:rFonts w:ascii="Times New Roman" w:hAnsi="Times New Roman"/>
          <w:b w:val="0"/>
          <w:i w:val="0"/>
          <w:sz w:val="20"/>
        </w:rPr>
        <w:t>II. 2. LITERATURE SURVEY</w:t>
      </w:r>
    </w:p>
    <w:p>
      <w:pPr>
        <w:keepNext/>
        <w:spacing w:before="100" w:after="40"/>
      </w:pPr>
      <w:r>
        <w:rPr>
          <w:rFonts w:ascii="Times New Roman" w:hAnsi="Times New Roman"/>
          <w:b w:val="0"/>
          <w:i/>
          <w:sz w:val="20"/>
        </w:rPr>
        <w:t>A.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jc w:val="both"/>
      </w:pPr>
      <w:r>
        <w:rPr>
          <w:rFonts w:ascii="Times New Roman" w:hAnsi="Times New Roman"/>
          <w:b/>
          <w:i w:val="0"/>
          <w:sz w:val="20"/>
        </w:rPr>
        <w:t>Rounding functions that matter for the attacks.</w:t>
      </w:r>
      <w:r>
        <w:rPr>
          <w:rFonts w:ascii="Times New Roman" w:hAnsi="Times New Roman"/>
          <w:b w:val="0"/>
          <w:i w:val="0"/>
          <w:sz w:val="20"/>
        </w:rPr>
        <w:t xml:space="preserve"> ML-DSA compresses the public key by splitting each coefficient of t = A·s1 + s2 into high and low parts with Power2Round, t = t1·2^d + t0 with d = 13, and publishes only t1. During signing, Decompose splits w = A·y into w1 (high bits, hashed into the challenge) and a low part with bound γ2. A hint vector h lets the verifier recompute w1 from A·z − c·t1·2^d, which equals w − c·s2 + c·t0. The second check exists because if c·s2 pushed a coefficient of w across a rounding boundary, the verifier would recover the wrong w1. Two consequences are used repeatedly below. First, the quantity v = A·z − c·t1·2^d that every verifier computes equals w − c·(s2 − t0), so v is public and carries the term c·(s2 − t0). Second, when the second rejection check is enforced, the low part of w stays at distance at least β from the boundary, which is what makes the leaked noise uninformative; when it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The earlier version [5] was superseded by [4].</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100 KB online communication per party per rejection-sampling round. It supports many parties (up to 64 in the preview writeup) and is proven secure in the universal composability framework. A distinguishing choice is that rejected attempts release (w1, c, ⊥) and the proof claims this is simulatable.</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It needs about 14 rounds per attempt and relies on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the vector s2 provably cannot push w across a rounding boundary, so rejection checks can be enforced offline on preprocessed nonces. This yields a TEE-assisted one-round profile and a distributed MPC profile with two online rounds.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 model</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 broadcast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heuristic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Broken (earlier versions)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jc w:val="both"/>
      </w:pPr>
      <w:r>
        <w:rPr>
          <w:rFonts w:ascii="Times New Roman" w:hAnsi="Times New Roman"/>
          <w:b/>
          <w:i w:val="0"/>
          <w:sz w:val="20"/>
        </w:rPr>
        <w:t>Numerical check of the sample estimate.</w:t>
      </w:r>
      <w:r>
        <w:rPr>
          <w:rFonts w:ascii="Times New Roman" w:hAnsi="Times New Roman"/>
          <w:b w:val="0"/>
          <w:i w:val="0"/>
          <w:sz w:val="20"/>
        </w:rPr>
        <w:t xml:space="preserve"> The estimate N ≈ 4γ2²/(3τ) can be evaluated directly from the parameters and reproduces the figures in [13]. Table I lists the values, which also show why ML-DSA-65 and -87 need about six and five times as many signatures as -44 even though their τ is larger.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These are about 2^28 to 2^31 signatures, which is 2^12 to 2^15 times larger than TALUS's cap of 2^13 to 2^14 per key. The gap of 12 to 15 bits is the margin the unoptimised estimate leaves; whether an optimised estimator can close it is problem P1 in Section III. Two points deserve emphasis. The estimate treats the noise as Gaussian with the variance of a uniform distribution, which wastes the information in its sharp edges. And it recovers s′ one coefficient at a time, whereas lattice reduction can exploit the fact that s′ is short in every coordinate simultaneously.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jc w:val="both"/>
      </w:pPr>
      <w:r>
        <w:rPr>
          <w:rFonts w:ascii="Times New Roman" w:hAnsi="Times New Roman"/>
          <w:b/>
          <w:i w:val="0"/>
          <w:sz w:val="20"/>
        </w:rPr>
        <w:t>Countermeasures studied in the literature.</w:t>
      </w:r>
      <w:r>
        <w:rPr>
          <w:rFonts w:ascii="Times New Roman" w:hAnsi="Times New Roman"/>
          <w:b w:val="0"/>
          <w:i w:val="0"/>
          <w:sz w:val="20"/>
        </w:rPr>
        <w:t xml:space="preserve"> The same papers discuss defences that inform design choices. For side-channel leakage, masking splits secrets into shares so that no single intermediate value correlates with the key, and shuffling randomises the order of coefficient operations; Damm et al. [19] show masking alone is insufficient when even a fraction of samples leak with low noise. For rejection-sampling leakage, the straightforward defence is to hide which check failed and to avoid releasing any value derived from a rejected response, which is why Quorus's choice to release (w1, c, ⊥) needs the careful simulation argument it provides. At protocol level, the TALUS authors' response limits the number of signatures per key, while Niot's remark [13] shows that merely restoring a removed check is not enough if a corrupted party can bias its nonce share. These defences have different costs: masking costs time, a signing cap costs key rotation, and hiding rejected transcripts costs interaction. Comparing them quantitatively is outside the scope of Phase 1, but the harness will produce the leakage measurements such a comparison needs.</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and with |S| = T and T−1 corrupted parties inside S, |S∖C| = 1. This is a hypothesis from our reading and needs confirmation. Its Irwin–Hall nonce-loss bound is also only non-vacuous for q_s &lt; 16,000, whereas [10] later proves an attack near 2^30.</w:t>
      </w:r>
    </w:p>
    <w:p>
      <w:pPr>
        <w:keepNext/>
        <w:spacing w:before="100" w:after="40"/>
      </w:pPr>
      <w:r>
        <w:rPr>
          <w:rFonts w:ascii="Times New Roman" w:hAnsi="Times New Roman"/>
          <w:b w:val="0"/>
          <w:i/>
          <w:sz w:val="20"/>
        </w:rPr>
        <w:t>F.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at q_s = 2^64.</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40"/>
      </w:pPr>
      <w:r>
        <w:rPr>
          <w:rFonts w:ascii="Times New Roman" w:hAnsi="Times New Roman"/>
          <w:b w:val="0"/>
          <w:i/>
          <w:sz w:val="20"/>
        </w:rPr>
        <w:t>G.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jc w:val="both"/>
      </w:pPr>
      <w:r>
        <w:rPr>
          <w:rFonts w:ascii="Times New Roman" w:hAnsi="Times New Roman"/>
          <w:b w:val="0"/>
          <w:i w:val="0"/>
          <w:sz w:val="20"/>
        </w:rPr>
        <w:t>Deployment realities amplify this. A threshold signature that verifies under standard FIPS 204 can be dropped into existing PKI, code-signing and TLS stacks unchanged, which is the main appeal of all four designs. But a key that must be rotated every 2^13 signatures (TALUS) or a signer that is limited to six parties (Mithril) restricts the settings in which these are practical, and tests that expose a larger margin would materially change which designs are viable.</w:t>
      </w:r>
    </w:p>
    <w:p>
      <w:pPr>
        <w:keepNext/>
        <w:spacing w:before="100" w:after="40"/>
      </w:pPr>
      <w:r>
        <w:rPr>
          <w:rFonts w:ascii="Times New Roman" w:hAnsi="Times New Roman"/>
          <w:b w:val="0"/>
          <w:i/>
          <w:sz w:val="20"/>
        </w:rPr>
        <w:t>H.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at q_s = 2^64 must be computed concretely.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statement that a rejected partial signature can be simulated as uniform is heuristic and is the most attackable claim: the distribution of rejected partial responses may depend on s1 or s2. The rejection-check result is declassified to both parties, so the number of bits about c·s2 revealed per attempt should be bounded. The correlated randomness provider is a trusted third party, so what it can learn from its own correlated values matters,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40"/>
      </w:pPr>
      <w:r>
        <w:rPr>
          <w:rFonts w:ascii="Times New Roman" w:hAnsi="Times New Roman"/>
          <w:b w:val="0"/>
          <w:i/>
          <w:sz w:val="20"/>
        </w:rPr>
        <w:t>I.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III.</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J. Literature matrix</w:t>
      </w:r>
    </w:p>
    <w:p>
      <w:pPr>
        <w:jc w:val="both"/>
      </w:pPr>
      <w:r>
        <w:rPr>
          <w:rFonts w:ascii="Times New Roman" w:hAnsi="Times New Roman"/>
          <w:b w:val="0"/>
          <w:i w:val="0"/>
          <w:sz w:val="20"/>
        </w:rPr>
        <w:t>Table II rates every cited source for relevance (H = central, M = supporting, L = background) and marks the themes it covers: TS = threshold signatures, MD = ML-DSA compatible, AT = attack or leakage analysis, SS = secret sharing or MPC building block, RS = rejection sampling, ST = standard or specification.</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23 sources, 13 are rated central (H), 5 supporting (M) and 5 background (L). Fifteen were published in 2025 or 2026, and 21 of 23 are from 2018 or later. The sources marked AT are the evidence base for the estimators in Section III.</w:t>
      </w:r>
    </w:p>
    <w:p>
      <w:pPr>
        <w:jc w:val="both"/>
      </w:pPr>
      <w:r>
        <w:rPr>
          <w:rFonts w:ascii="Times New Roman" w:hAnsi="Times New Roman"/>
          <w:b/>
          <w:i w:val="0"/>
          <w:sz w:val="20"/>
        </w:rPr>
        <w:t>Recommendations that follow from the survey.</w:t>
      </w:r>
      <w:r>
        <w:rPr>
          <w:rFonts w:ascii="Times New Roman" w:hAnsi="Times New Roman"/>
          <w:b w:val="0"/>
          <w:i w:val="0"/>
          <w:sz w:val="20"/>
        </w:rPr>
        <w:t xml:space="preserve"> Four design rules emerge from the failures recorded in the literature. Do not publish any linear image of a secret or nonce under the public matrix, however it is masked, unless the mask remains hiding under the worst-case corruption allowed (checklist items 1 and 8). Treat the response nonce as a secret with the same status as the key, including in blame and abort procedures (item 2). Keep every rejection check that the single-signer scheme has, or prove that the replacement leaks no more (item 3). And bound the number of signatures per key only with a margin that an optimised estimator, not just least squares, cannot close (item 4). These rules are not new individually, but the First-Call submissions show they are easy to violate when importing patterns from discrete-log threshold schemes.</w:t>
      </w:r>
    </w:p>
    <w:p>
      <w:pPr>
        <w:keepNext/>
        <w:spacing w:before="160" w:after="60"/>
        <w:jc w:val="center"/>
      </w:pPr>
      <w:r>
        <w:rPr>
          <w:rFonts w:ascii="Times New Roman" w:hAnsi="Times New Roman"/>
          <w:b w:val="0"/>
          <w:i w:val="0"/>
          <w:sz w:val="20"/>
        </w:rPr>
        <w:t>III. 3. PROBLEM FORMULATION AND POSSIBLE SOLUTION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A, t</w:t>
            </w:r>
          </w:p>
        </w:tc>
        <w:tc>
          <w:tcPr>
            <w:tcW w:type="dxa" w:w="4067"/>
          </w:tcPr>
          <w:p>
            <w:pPr>
              <w:spacing w:after="0"/>
            </w:pPr>
            <w:r/>
            <w:r>
              <w:rPr>
                <w:rFonts w:ascii="Times New Roman" w:hAnsi="Times New Roman"/>
                <w:b w:val="0"/>
                <w:i w:val="0"/>
                <w:sz w:val="16"/>
              </w:rPr>
              <w:t>Public matrix over R_q (k×ℓ) and public key t = A·s1 + s2</w:t>
            </w:r>
          </w:p>
        </w:tc>
      </w:tr>
      <w:tr>
        <w:tc>
          <w:tcPr>
            <w:tcW w:type="dxa" w:w="829"/>
          </w:tcPr>
          <w:p>
            <w:pPr>
              <w:spacing w:after="0"/>
            </w:pPr>
            <w:r/>
            <w:r>
              <w:rPr>
                <w:rFonts w:ascii="Times New Roman" w:hAnsi="Times New Roman"/>
                <w:b w:val="0"/>
                <w:i w:val="0"/>
                <w:sz w:val="16"/>
              </w:rPr>
              <w:t>s1, s2</w:t>
            </w:r>
          </w:p>
        </w:tc>
        <w:tc>
          <w:tcPr>
            <w:tcW w:type="dxa" w:w="4067"/>
          </w:tcPr>
          <w:p>
            <w:pPr>
              <w:spacing w:after="0"/>
            </w:pPr>
            <w:r/>
            <w:r>
              <w:rPr>
                <w:rFonts w:ascii="Times New Roman" w:hAnsi="Times New Roman"/>
                <w:b w:val="0"/>
                <w:i w:val="0"/>
                <w:sz w:val="16"/>
              </w:rPr>
              <w:t>Short secret vectors; s′ = s2 − t0 where t0 holds the dropped low bits of t</w:t>
            </w:r>
          </w:p>
        </w:tc>
      </w:tr>
      <w:tr>
        <w:tc>
          <w:tcPr>
            <w:tcW w:type="dxa" w:w="829"/>
          </w:tcPr>
          <w:p>
            <w:pPr>
              <w:spacing w:after="0"/>
            </w:pPr>
            <w:r/>
            <w:r>
              <w:rPr>
                <w:rFonts w:ascii="Times New Roman" w:hAnsi="Times New Roman"/>
                <w:b w:val="0"/>
                <w:i w:val="0"/>
                <w:sz w:val="16"/>
              </w:rPr>
              <w:t>y, z, c</w:t>
            </w:r>
          </w:p>
        </w:tc>
        <w:tc>
          <w:tcPr>
            <w:tcW w:type="dxa" w:w="4067"/>
          </w:tcPr>
          <w:p>
            <w:pPr>
              <w:spacing w:after="0"/>
            </w:pPr>
            <w:r/>
            <w:r>
              <w:rPr>
                <w:rFonts w:ascii="Times New Roman" w:hAnsi="Times New Roman"/>
                <w:b w:val="0"/>
                <w:i w:val="0"/>
                <w:sz w:val="16"/>
              </w:rPr>
              <w:t>Nonce, response z = y + c·s1, and sparse challenge with τ entries of ±1</w:t>
            </w:r>
          </w:p>
        </w:tc>
      </w:tr>
      <w:tr>
        <w:tc>
          <w:tcPr>
            <w:tcW w:type="dxa" w:w="829"/>
          </w:tcPr>
          <w:p>
            <w:pPr>
              <w:spacing w:after="0"/>
            </w:pPr>
            <w:r/>
            <w:r>
              <w:rPr>
                <w:rFonts w:ascii="Times New Roman" w:hAnsi="Times New Roman"/>
                <w:b w:val="0"/>
                <w:i w:val="0"/>
                <w:sz w:val="16"/>
              </w:rPr>
              <w:t>w, w1</w:t>
            </w:r>
          </w:p>
        </w:tc>
        <w:tc>
          <w:tcPr>
            <w:tcW w:type="dxa" w:w="4067"/>
          </w:tcPr>
          <w:p>
            <w:pPr>
              <w:spacing w:after="0"/>
            </w:pPr>
            <w:r/>
            <w:r>
              <w:rPr>
                <w:rFonts w:ascii="Times New Roman" w:hAnsi="Times New Roman"/>
                <w:b w:val="0"/>
                <w:i w:val="0"/>
                <w:sz w:val="16"/>
              </w:rPr>
              <w:t>w = A·y and its high-bits part w1 = HighBits(w); e = LowBits(w) is the rounding residue</w:t>
            </w:r>
          </w:p>
        </w:tc>
      </w:tr>
      <w:tr>
        <w:tc>
          <w:tcPr>
            <w:tcW w:type="dxa" w:w="829"/>
          </w:tcPr>
          <w:p>
            <w:pPr>
              <w:spacing w:after="0"/>
            </w:pPr>
            <w:r/>
            <w:r>
              <w:rPr>
                <w:rFonts w:ascii="Times New Roman" w:hAnsi="Times New Roman"/>
                <w:b w:val="0"/>
                <w:i w:val="0"/>
                <w:sz w:val="16"/>
              </w:rPr>
              <w:t>γ1, γ2, β</w:t>
            </w:r>
          </w:p>
        </w:tc>
        <w:tc>
          <w:tcPr>
            <w:tcW w:type="dxa" w:w="4067"/>
          </w:tcPr>
          <w:p>
            <w:pPr>
              <w:spacing w:after="0"/>
            </w:pPr>
            <w:r/>
            <w:r>
              <w:rPr>
                <w:rFonts w:ascii="Times New Roman" w:hAnsi="Times New Roman"/>
                <w:b w:val="0"/>
                <w:i w:val="0"/>
                <w:sz w:val="16"/>
              </w:rPr>
              <w:t>Response bound, rounding bound, and bound on |c·s| (β = τ·η)</w:t>
            </w:r>
          </w:p>
        </w:tc>
      </w:tr>
      <w:tr>
        <w:tc>
          <w:tcPr>
            <w:tcW w:type="dxa" w:w="829"/>
          </w:tcPr>
          <w:p>
            <w:pPr>
              <w:spacing w:after="0"/>
            </w:pPr>
            <w:r/>
            <w:r>
              <w:rPr>
                <w:rFonts w:ascii="Times New Roman" w:hAnsi="Times New Roman"/>
                <w:b w:val="0"/>
                <w:i w:val="0"/>
                <w:sz w:val="16"/>
              </w:rPr>
              <w:t>(T, N)</w:t>
            </w:r>
          </w:p>
        </w:tc>
        <w:tc>
          <w:tcPr>
            <w:tcW w:type="dxa" w:w="4067"/>
          </w:tcPr>
          <w:p>
            <w:pPr>
              <w:spacing w:after="0"/>
            </w:pPr>
            <w:r/>
            <w:r>
              <w:rPr>
                <w:rFonts w:ascii="Times New Roman" w:hAnsi="Times New Roman"/>
                <w:b w:val="0"/>
                <w:i w:val="0"/>
                <w:sz w:val="16"/>
              </w:rPr>
              <w:t>Threshold and number of parties; S is the signing set and C the corrupted set</w:t>
            </w:r>
          </w:p>
        </w:tc>
      </w:tr>
      <w:tr>
        <w:tc>
          <w:tcPr>
            <w:tcW w:type="dxa" w:w="829"/>
          </w:tcPr>
          <w:p>
            <w:pPr>
              <w:spacing w:after="0"/>
            </w:pPr>
            <w:r/>
            <w:r>
              <w:rPr>
                <w:rFonts w:ascii="Times New Roman" w:hAnsi="Times New Roman"/>
                <w:b w:val="0"/>
                <w:i w:val="0"/>
                <w:sz w:val="16"/>
              </w:rPr>
              <w:t>q_s</w:t>
            </w:r>
          </w:p>
        </w:tc>
        <w:tc>
          <w:tcPr>
            <w:tcW w:type="dxa" w:w="4067"/>
          </w:tcPr>
          <w:p>
            <w:pPr>
              <w:spacing w:after="0"/>
            </w:pPr>
            <w:r/>
            <w:r>
              <w:rPr>
                <w:rFonts w:ascii="Times New Roman" w:hAnsi="Times New Roman"/>
                <w:b w:val="0"/>
                <w:i w:val="0"/>
                <w:sz w:val="16"/>
              </w:rPr>
              <w:t>Number of signing sessions the adversary observes</w:t>
            </w:r>
          </w:p>
        </w:tc>
      </w:tr>
    </w:tbl>
    <w:p>
      <w:pPr>
        <w:spacing w:after="40"/>
      </w:pPr>
    </w:p>
    <w:p>
      <w:pPr>
        <w:jc w:val="both"/>
      </w:pPr>
      <w:r>
        <w:rPr>
          <w:rFonts w:ascii="Times New Roman" w:hAnsi="Times New Roman"/>
          <w:b w:val="0"/>
          <w:i w:val="0"/>
          <w:sz w:val="20"/>
        </w:rPr>
        <w:t>The transcript is where the schemes differ most, so we summarise what each is claimed to publish beyond the final signature. These entries are taken from the sources as we read them and are to be checked against the full papers.</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Round messages of the signing set; per-party commitments to w</w:t>
            </w:r>
          </w:p>
        </w:tc>
        <w:tc>
          <w:tcPr>
            <w:tcW w:type="dxa" w:w="1869"/>
          </w:tcPr>
          <w:p>
            <w:pPr>
              <w:spacing w:after="0"/>
            </w:pPr>
            <w:r/>
            <w:r>
              <w:rPr>
                <w:rFonts w:ascii="Times New Roman" w:hAnsi="Times New Roman"/>
                <w:b w:val="0"/>
                <w:i w:val="0"/>
                <w:sz w:val="16"/>
              </w:rPr>
              <w:t>Visible to corrupted parties;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protocol messages; honest-majority broadcasts</w:t>
            </w:r>
          </w:p>
        </w:tc>
        <w:tc>
          <w:tcPr>
            <w:tcW w:type="dxa" w:w="1869"/>
          </w:tcPr>
          <w:p>
            <w:pPr>
              <w:spacing w:after="0"/>
            </w:pPr>
            <w:r/>
            <w:r>
              <w:rPr>
                <w:rFonts w:ascii="Times New Roman" w:hAnsi="Times New Roman"/>
                <w:b w:val="0"/>
                <w:i w:val="0"/>
                <w:sz w:val="16"/>
              </w:rPr>
              <w:t>Releases (w1, c, ⊥)</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messages; CRP-correlated values</w:t>
            </w:r>
          </w:p>
        </w:tc>
        <w:tc>
          <w:tcPr>
            <w:tcW w:type="dxa" w:w="1869"/>
          </w:tcPr>
          <w:p>
            <w:pPr>
              <w:spacing w:after="0"/>
            </w:pPr>
            <w:r/>
            <w:r>
              <w:rPr>
                <w:rFonts w:ascii="Times New Roman" w:hAnsi="Times New Roman"/>
                <w:b w:val="0"/>
                <w:i w:val="0"/>
                <w:sz w:val="16"/>
              </w:rPr>
              <w:t>Declassified rejection bit; partial responses</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 on dispute</w:t>
            </w:r>
          </w:p>
        </w:tc>
        <w:tc>
          <w:tcPr>
            <w:tcW w:type="dxa" w:w="1869"/>
          </w:tcPr>
          <w:p>
            <w:pPr>
              <w:spacing w:after="0"/>
            </w:pPr>
            <w:r/>
            <w:r>
              <w:rPr>
                <w:rFonts w:ascii="Times New Roman" w:hAnsi="Times New Roman"/>
                <w:b w:val="0"/>
                <w:i w:val="0"/>
                <w:sz w:val="16"/>
              </w:rPr>
              <w:t>Nonces pre-filtered offline; bound to quorum</w:t>
            </w:r>
          </w:p>
        </w:tc>
      </w:tr>
    </w:tbl>
    <w:p>
      <w:pPr>
        <w:spacing w:after="40"/>
      </w:pPr>
    </w:p>
    <w:p>
      <w:pPr>
        <w:jc w:val="both"/>
      </w:pPr>
      <w:r>
        <w:rPr>
          <w:rFonts w:ascii="Times New Roman" w:hAnsi="Times New Roman"/>
          <w:b w:val="0"/>
          <w:i w:val="0"/>
          <w:sz w:val="20"/>
        </w:rPr>
        <w:t>Two readings of this table guide the experiments. First, the right column determines whether rejected-attempt tests (P3) are meaningful for a scheme at all: TALUS filters offline, so its online transcripts have no rejected attempts and the relevant leakage is in the accepted values and the cap. Second, the middle column determines which items of the checklist apply, for instance item 1 (published A·x) is relevant wherever commitments to w or shares are broadcast, and is the first thing the harness tests on any new transcript format.</w:t>
      </w:r>
    </w:p>
    <w:p>
      <w:pPr>
        <w:keepNext/>
        <w:spacing w:before="100" w:after="40"/>
      </w:pPr>
      <w:r>
        <w:rPr>
          <w:rFonts w:ascii="Times New Roman" w:hAnsi="Times New Roman"/>
          <w:b w:val="0"/>
          <w:i/>
          <w:sz w:val="20"/>
        </w:rPr>
        <w:t>B. Open problems</w:t>
      </w:r>
    </w:p>
    <w:p>
      <w:pPr>
        <w:jc w:val="both"/>
      </w:pPr>
      <w:r>
        <w:rPr>
          <w:rFonts w:ascii="Times New Roman" w:hAnsi="Times New Roman"/>
          <w:b/>
          <w:i w:val="0"/>
          <w:sz w:val="20"/>
        </w:rPr>
        <w:t>P1 (TALUS signing cap).</w:t>
      </w:r>
      <w:r>
        <w:rPr>
          <w:rFonts w:ascii="Times New Roman" w:hAnsi="Times New Roman"/>
          <w:b w:val="0"/>
          <w:i w:val="0"/>
          <w:sz w:val="20"/>
        </w:rPr>
        <w:t xml:space="preserve"> Given the post-BCC noise e = LowBits(w) restricted to (−γ2+β, γ2−β), find the minimum number of signatures q* at which an optimised estimator recovers s′ = s2 − t0, and compare q* with the cap (2^13–2^14) and the uniqueness wall (2^15–2^16). Sharp noise edges carry more information per sample than variance alone, so bounded-noise estimators, ILP and lattice reduction should beat least squares. Either outcome is informative: q* below the cap breaks the design; q* above it gives a concrete security margin.</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check it exceeds 2^64.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and Trilithium).</w:t>
      </w:r>
      <w:r>
        <w:rPr>
          <w:rFonts w:ascii="Times New Roman" w:hAnsi="Times New Roman"/>
          <w:b w:val="0"/>
          <w:i w:val="0"/>
          <w:sz w:val="20"/>
        </w:rPr>
        <w:t xml:space="preserve"> Test whether the distribution of rejected-attempt transcripts, (w1, c, ⊥) in Quorus and rejected partial responses in Trilithium, depends on s1 or s2. A positive result would invalidate the simulatability claim or heuristic; the declassified rejection-check bit in Trilithium should be quantified in bits per attempt about c·s2.</w:t>
      </w:r>
    </w:p>
    <w:p>
      <w:pPr>
        <w:jc w:val="both"/>
      </w:pPr>
      <w:r>
        <w:rPr>
          <w:rFonts w:ascii="Times New Roman" w:hAnsi="Times New Roman"/>
          <w:b/>
          <w:i w:val="0"/>
          <w:sz w:val="20"/>
        </w:rPr>
        <w:t>P4 (Confirm or refute Kao's P2 claim).</w:t>
      </w:r>
      <w:r>
        <w:rPr>
          <w:rFonts w:ascii="Times New Roman" w:hAnsi="Times New Roman"/>
          <w:b w:val="0"/>
          <w:i w:val="0"/>
          <w:sz w:val="20"/>
        </w:rPr>
        <w:t xml:space="preserve"> Decide whether the masked-commitment argument fails at |S∖C| = 1, which would be a one-signature key recovery for any |S| = T with T−1 corruptions, and whether the Feldman-style DKG commitments show the A·s1,i pattern broken in [13].</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bounded-noise estimator needs at least an order of magnitude fewer signatures than least squares, and the criterion is a recovered key (checked against the public key) at a sample count below 2^16. For P2 we hypothesise that the Fisher information per signature is small enough that the wall exceeds 2^64, so a null result is the expected outcome and the criterion is a numerical bound with its derivation. For P3 we hypothesise that Quorus's reveal-on-reject is simulatable as claimed while Trilithium's rejected-partial heuristic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40"/>
      </w:pPr>
      <w:r>
        <w:rPr>
          <w:rFonts w:ascii="Times New Roman" w:hAnsi="Times New Roman"/>
          <w:b w:val="0"/>
          <w:i/>
          <w:sz w:val="20"/>
        </w:rPr>
        <w:t>C.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40"/>
      </w:pPr>
      <w:r>
        <w:rPr>
          <w:rFonts w:ascii="Times New Roman" w:hAnsi="Times New Roman"/>
          <w:b w:val="0"/>
          <w:i/>
          <w:sz w:val="20"/>
        </w:rPr>
        <w:t>D.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per-coordinate error variance about Var(e)/(N·τ/n) in the normalised ring representation. For uniform noise on [−γ2, γ2] with Var(e) ≈ γ2²/3, rounding recovers an entry of s′ correctly with overwhelming probability once the standard deviation falls below a fraction of 1/2 times the bound on |s′|; this reproduces the order N ≈ 4γ2²/(3τ) quoted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q_s =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jc w:val="both"/>
      </w:pPr>
      <w:r>
        <w:rPr>
          <w:rFonts w:ascii="Times New Roman" w:hAnsi="Times New Roman"/>
          <w:b/>
          <w:i w:val="0"/>
          <w:sz w:val="20"/>
        </w:rPr>
        <w:t>Simulator walkthrough (TALUS-style, accepted attempt).</w:t>
      </w:r>
      <w:r>
        <w:rPr>
          <w:rFonts w:ascii="Times New Roman" w:hAnsi="Times New Roman"/>
          <w:b w:val="0"/>
          <w:i w:val="0"/>
          <w:sz w:val="20"/>
        </w:rPr>
        <w:t xml:space="preserve"> To make the interface concrete, the simulator for a TALUS-like scheme performs the following steps per signature. (1) Sample the aggregate nonce y from the scheme's distribution, keeping only nonces that satisfy the boundary clearance condition. (2) Compute w = A·y and w1 = HighBits(w). (3) Derive c from a random message and w1. (4) Compute z = y + c·s1 and apply the first rejection check. (5) Emit the public record (c, z, h), plus whatever the scheme additionally broadcasts, together with a ground-truth tag. The estimator receives only the public record. A corrupted-coalition variant additionally emits the internal shares of the corrupted parties. For schemes with aborted attempts, step (4) emits a record flagged as rejected together with exactly the fields the specification says are revealed, no more.</w:t>
      </w:r>
    </w:p>
    <w:p>
      <w:pPr>
        <w:jc w:val="both"/>
      </w:pPr>
      <w:r>
        <w:rPr>
          <w:rFonts w:ascii="Times New Roman" w:hAnsi="Times New Roman"/>
          <w:b/>
          <w:i w:val="0"/>
          <w:sz w:val="20"/>
        </w:rPr>
        <w:t>Evaluation metrics.</w:t>
      </w:r>
      <w:r>
        <w:rPr>
          <w:rFonts w:ascii="Times New Roman" w:hAnsi="Times New Roman"/>
          <w:b w:val="0"/>
          <w:i w:val="0"/>
          <w:sz w:val="20"/>
        </w:rPr>
        <w:t xml:space="preserve"> We report (i) the minimum sample count at which the full secret is recovered with probability at least 0.9 over repeated runs; (ii) the fraction of coefficients recovered as a function of sample count; (iii) for statistical tests, the p-value or test statistic against the null of independence from the secret, with the number of samples; and (iv) cost, measured as CPU time and memory. Recovery is verified against the public key, so a claimed recovery can be checked by anyone: given a candidate s1, compute t and compare. This avoids the common problem of reporting partial correlations as breaks.</w:t>
      </w:r>
    </w:p>
    <w:p>
      <w:pPr>
        <w:jc w:val="both"/>
      </w:pPr>
      <w:r>
        <w:rPr>
          <w:rFonts w:ascii="Times New Roman" w:hAnsi="Times New Roman"/>
          <w:b/>
          <w:i w:val="0"/>
          <w:sz w:val="20"/>
        </w:rPr>
        <w:t>Threats to validity.</w:t>
      </w:r>
      <w:r>
        <w:rPr>
          <w:rFonts w:ascii="Times New Roman" w:hAnsi="Times New Roman"/>
          <w:b w:val="0"/>
          <w:i w:val="0"/>
          <w:sz w:val="20"/>
        </w:rPr>
        <w:t xml:space="preserve"> Internal threats include bugs in the primitives (mitigated by known-answer tests) and estimator tuning that overfits to synthetic keys (mitigated by testing on many random keys). External threats include differences between the simulated protocol and the real one, and parameter changes between preview writeups and final packages. Construct threats include treating least-squares success as the only measure of leakage, since a scheme can leak information that a particular estimator misses; for this reason several estimators are run on every transcript type, and negative results are phrased as bounds on what was tried.</w:t>
      </w:r>
    </w:p>
    <w:p>
      <w:pPr>
        <w:keepNext/>
        <w:spacing w:before="100" w:after="40"/>
      </w:pPr>
      <w:r>
        <w:rPr>
          <w:rFonts w:ascii="Times New Roman" w:hAnsi="Times New Roman"/>
          <w:b w:val="0"/>
          <w:i/>
          <w:sz w:val="20"/>
        </w:rPr>
        <w:t>E.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jc w:val="both"/>
      </w:pPr>
      <w:r>
        <w:rPr>
          <w:rFonts w:ascii="Times New Roman" w:hAnsi="Times New Roman"/>
          <w:b/>
          <w:i w:val="0"/>
          <w:sz w:val="20"/>
        </w:rPr>
        <w:t>Expected contributions.</w:t>
      </w:r>
      <w:r>
        <w:rPr>
          <w:rFonts w:ascii="Times New Roman" w:hAnsi="Times New Roman"/>
          <w:b w:val="0"/>
          <w:i w:val="0"/>
          <w:sz w:val="20"/>
        </w:rPr>
        <w:t xml:space="preserve"> If the project succeeds, it yields three kinds of artefact. A reusable open-source harness with validated ML-DSA primitives and a scheme-simulator interface, so that new threshold designs can be screened in hours rather than weeks. A set of measured margins and bounds for the four proposals, expressed in bits of security and in signatures, so that NIST and the teams can compare designs on the same scale. And a verified or refuted statement about Kao's P2 profile [12], which matters because TALUS builds on it. Even when no attack is found, the checklist and the measurements give the community a concrete way to assess how much testing each scheme has received, which is currently missing for three of the four proposals.</w:t>
      </w:r>
    </w:p>
    <w:p>
      <w:pPr>
        <w:keepNext/>
        <w:spacing w:before="100" w:after="40"/>
      </w:pPr>
      <w:r>
        <w:rPr>
          <w:rFonts w:ascii="Times New Roman" w:hAnsi="Times New Roman"/>
          <w:b w:val="0"/>
          <w:i/>
          <w:sz w:val="20"/>
        </w:rPr>
        <w:t>F.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II-H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250"/>
        <w:gridCol w:w="3250"/>
        <w:gridCol w:w="3250"/>
      </w:tblGrid>
      <w:tr>
        <w:tc>
          <w:tcPr>
            <w:tcW w:type="dxa" w:w="452"/>
            <w:shd w:val="clear" w:color="auto" w:fill="D9D9D9"/>
          </w:tcPr>
          <w:p>
            <w:pPr>
              <w:spacing w:after="0"/>
            </w:pPr>
            <w:r/>
            <w:r>
              <w:rPr>
                <w:rFonts w:ascii="Times New Roman" w:hAnsi="Times New Roman"/>
                <w:b/>
                <w:i w:val="0"/>
                <w:sz w:val="16"/>
              </w:rPr>
              <w:t>Stage</w:t>
            </w:r>
          </w:p>
        </w:tc>
        <w:tc>
          <w:tcPr>
            <w:tcW w:type="dxa" w:w="2938"/>
            <w:shd w:val="clear" w:color="auto" w:fill="D9D9D9"/>
          </w:tcPr>
          <w:p>
            <w:pPr>
              <w:spacing w:after="0"/>
            </w:pPr>
            <w:r/>
            <w:r>
              <w:rPr>
                <w:rFonts w:ascii="Times New Roman" w:hAnsi="Times New Roman"/>
                <w:b/>
                <w:i w:val="0"/>
                <w:sz w:val="16"/>
              </w:rPr>
              <w:t>Work item</w:t>
            </w:r>
          </w:p>
        </w:tc>
        <w:tc>
          <w:tcPr>
            <w:tcW w:type="dxa" w:w="1506"/>
            <w:shd w:val="clear" w:color="auto" w:fill="D9D9D9"/>
          </w:tcPr>
          <w:p>
            <w:pPr>
              <w:spacing w:after="0"/>
            </w:pPr>
            <w:r/>
            <w:r>
              <w:rPr>
                <w:rFonts w:ascii="Times New Roman" w:hAnsi="Times New Roman"/>
                <w:b/>
                <w:i w:val="0"/>
                <w:sz w:val="16"/>
              </w:rPr>
              <w:t>Output</w:t>
            </w:r>
          </w:p>
        </w:tc>
      </w:tr>
      <w:tr>
        <w:tc>
          <w:tcPr>
            <w:tcW w:type="dxa" w:w="452"/>
          </w:tcPr>
          <w:p>
            <w:pPr>
              <w:spacing w:after="0"/>
            </w:pPr>
            <w:r/>
            <w:r>
              <w:rPr>
                <w:rFonts w:ascii="Times New Roman" w:hAnsi="Times New Roman"/>
                <w:b w:val="0"/>
                <w:i w:val="0"/>
                <w:sz w:val="16"/>
              </w:rPr>
              <w:t>0</w:t>
            </w:r>
          </w:p>
        </w:tc>
        <w:tc>
          <w:tcPr>
            <w:tcW w:type="dxa" w:w="2938"/>
          </w:tcPr>
          <w:p>
            <w:pPr>
              <w:spacing w:after="0"/>
            </w:pPr>
            <w:r/>
            <w:r>
              <w:rPr>
                <w:rFonts w:ascii="Times New Roman" w:hAnsi="Times New Roman"/>
                <w:b w:val="0"/>
                <w:i w:val="0"/>
                <w:sz w:val="16"/>
              </w:rPr>
              <w:t>Choose tooling; read the remaining primary papers; recheck NIST schedule</w:t>
            </w:r>
          </w:p>
        </w:tc>
        <w:tc>
          <w:tcPr>
            <w:tcW w:type="dxa" w:w="1506"/>
          </w:tcPr>
          <w:p>
            <w:pPr>
              <w:spacing w:after="0"/>
            </w:pPr>
            <w:r/>
            <w:r>
              <w:rPr>
                <w:rFonts w:ascii="Times New Roman" w:hAnsi="Times New Roman"/>
                <w:b w:val="0"/>
                <w:i w:val="0"/>
                <w:sz w:val="16"/>
              </w:rPr>
              <w:t>Reading table, tooling decision</w:t>
            </w:r>
          </w:p>
        </w:tc>
      </w:tr>
      <w:tr>
        <w:tc>
          <w:tcPr>
            <w:tcW w:type="dxa" w:w="452"/>
          </w:tcPr>
          <w:p>
            <w:pPr>
              <w:spacing w:after="0"/>
            </w:pPr>
            <w:r/>
            <w:r>
              <w:rPr>
                <w:rFonts w:ascii="Times New Roman" w:hAnsi="Times New Roman"/>
                <w:b w:val="0"/>
                <w:i w:val="0"/>
                <w:sz w:val="16"/>
              </w:rPr>
              <w:t>1</w:t>
            </w:r>
          </w:p>
        </w:tc>
        <w:tc>
          <w:tcPr>
            <w:tcW w:type="dxa" w:w="2938"/>
          </w:tcPr>
          <w:p>
            <w:pPr>
              <w:spacing w:after="0"/>
            </w:pPr>
            <w:r/>
            <w:r>
              <w:rPr>
                <w:rFonts w:ascii="Times New Roman" w:hAnsi="Times New Roman"/>
                <w:b w:val="0"/>
                <w:i w:val="0"/>
                <w:sz w:val="16"/>
              </w:rPr>
              <w:t>ML-DSA primitives, transcript interface, estimators; reproduce ILWE sanity check</w:t>
            </w:r>
          </w:p>
        </w:tc>
        <w:tc>
          <w:tcPr>
            <w:tcW w:type="dxa" w:w="1506"/>
          </w:tcPr>
          <w:p>
            <w:pPr>
              <w:spacing w:after="0"/>
            </w:pPr>
            <w:r/>
            <w:r>
              <w:rPr>
                <w:rFonts w:ascii="Times New Roman" w:hAnsi="Times New Roman"/>
                <w:b w:val="0"/>
                <w:i w:val="0"/>
                <w:sz w:val="16"/>
              </w:rPr>
              <w:t>Harness v0.1, validated on KATs</w:t>
            </w:r>
          </w:p>
        </w:tc>
      </w:tr>
      <w:tr>
        <w:tc>
          <w:tcPr>
            <w:tcW w:type="dxa" w:w="452"/>
          </w:tcPr>
          <w:p>
            <w:pPr>
              <w:spacing w:after="0"/>
            </w:pPr>
            <w:r/>
            <w:r>
              <w:rPr>
                <w:rFonts w:ascii="Times New Roman" w:hAnsi="Times New Roman"/>
                <w:b w:val="0"/>
                <w:i w:val="0"/>
                <w:sz w:val="16"/>
              </w:rPr>
              <w:t>2</w:t>
            </w:r>
          </w:p>
        </w:tc>
        <w:tc>
          <w:tcPr>
            <w:tcW w:type="dxa" w:w="2938"/>
          </w:tcPr>
          <w:p>
            <w:pPr>
              <w:spacing w:after="0"/>
            </w:pPr>
            <w:r/>
            <w:r>
              <w:rPr>
                <w:rFonts w:ascii="Times New Roman" w:hAnsi="Times New Roman"/>
                <w:b w:val="0"/>
                <w:i w:val="0"/>
                <w:sz w:val="16"/>
              </w:rPr>
              <w:t>TALUS cap: bounded-noise and ILP estimators vs cap and wall (P1)</w:t>
            </w:r>
          </w:p>
        </w:tc>
        <w:tc>
          <w:tcPr>
            <w:tcW w:type="dxa" w:w="1506"/>
          </w:tcPr>
          <w:p>
            <w:pPr>
              <w:spacing w:after="0"/>
            </w:pPr>
            <w:r/>
            <w:r>
              <w:rPr>
                <w:rFonts w:ascii="Times New Roman" w:hAnsi="Times New Roman"/>
                <w:b w:val="0"/>
                <w:i w:val="0"/>
                <w:sz w:val="16"/>
              </w:rPr>
              <w:t>Sample count vs recovery curves</w:t>
            </w:r>
          </w:p>
        </w:tc>
      </w:tr>
      <w:tr>
        <w:tc>
          <w:tcPr>
            <w:tcW w:type="dxa" w:w="452"/>
          </w:tcPr>
          <w:p>
            <w:pPr>
              <w:spacing w:after="0"/>
            </w:pPr>
            <w:r/>
            <w:r>
              <w:rPr>
                <w:rFonts w:ascii="Times New Roman" w:hAnsi="Times New Roman"/>
                <w:b w:val="0"/>
                <w:i w:val="0"/>
                <w:sz w:val="16"/>
              </w:rPr>
              <w:t>3</w:t>
            </w:r>
          </w:p>
        </w:tc>
        <w:tc>
          <w:tcPr>
            <w:tcW w:type="dxa" w:w="2938"/>
          </w:tcPr>
          <w:p>
            <w:pPr>
              <w:spacing w:after="0"/>
            </w:pPr>
            <w:r/>
            <w:r>
              <w:rPr>
                <w:rFonts w:ascii="Times New Roman" w:hAnsi="Times New Roman"/>
                <w:b w:val="0"/>
                <w:i w:val="0"/>
                <w:sz w:val="16"/>
              </w:rPr>
              <w:t>Mithril accepted-z and hint accounting (P2)</w:t>
            </w:r>
          </w:p>
        </w:tc>
        <w:tc>
          <w:tcPr>
            <w:tcW w:type="dxa" w:w="1506"/>
          </w:tcPr>
          <w:p>
            <w:pPr>
              <w:spacing w:after="0"/>
            </w:pPr>
            <w:r/>
            <w:r>
              <w:rPr>
                <w:rFonts w:ascii="Times New Roman" w:hAnsi="Times New Roman"/>
                <w:b w:val="0"/>
                <w:i w:val="0"/>
                <w:sz w:val="16"/>
              </w:rPr>
              <w:t>Fisher-information bound, bit-loss table</w:t>
            </w:r>
          </w:p>
        </w:tc>
      </w:tr>
      <w:tr>
        <w:tc>
          <w:tcPr>
            <w:tcW w:type="dxa" w:w="452"/>
          </w:tcPr>
          <w:p>
            <w:pPr>
              <w:spacing w:after="0"/>
            </w:pPr>
            <w:r/>
            <w:r>
              <w:rPr>
                <w:rFonts w:ascii="Times New Roman" w:hAnsi="Times New Roman"/>
                <w:b w:val="0"/>
                <w:i w:val="0"/>
                <w:sz w:val="16"/>
              </w:rPr>
              <w:t>4</w:t>
            </w:r>
          </w:p>
        </w:tc>
        <w:tc>
          <w:tcPr>
            <w:tcW w:type="dxa" w:w="2938"/>
          </w:tcPr>
          <w:p>
            <w:pPr>
              <w:spacing w:after="0"/>
            </w:pPr>
            <w:r/>
            <w:r>
              <w:rPr>
                <w:rFonts w:ascii="Times New Roman" w:hAnsi="Times New Roman"/>
                <w:b w:val="0"/>
                <w:i w:val="0"/>
                <w:sz w:val="16"/>
              </w:rPr>
              <w:t>Quorus and Trilithium rejected-attempt tests (P3)</w:t>
            </w:r>
          </w:p>
        </w:tc>
        <w:tc>
          <w:tcPr>
            <w:tcW w:type="dxa" w:w="1506"/>
          </w:tcPr>
          <w:p>
            <w:pPr>
              <w:spacing w:after="0"/>
            </w:pPr>
            <w:r/>
            <w:r>
              <w:rPr>
                <w:rFonts w:ascii="Times New Roman" w:hAnsi="Times New Roman"/>
                <w:b w:val="0"/>
                <w:i w:val="0"/>
                <w:sz w:val="16"/>
              </w:rPr>
              <w:t>Statistical test results</w:t>
            </w:r>
          </w:p>
        </w:tc>
      </w:tr>
      <w:tr>
        <w:tc>
          <w:tcPr>
            <w:tcW w:type="dxa" w:w="452"/>
          </w:tcPr>
          <w:p>
            <w:pPr>
              <w:spacing w:after="0"/>
            </w:pPr>
            <w:r/>
            <w:r>
              <w:rPr>
                <w:rFonts w:ascii="Times New Roman" w:hAnsi="Times New Roman"/>
                <w:b w:val="0"/>
                <w:i w:val="0"/>
                <w:sz w:val="16"/>
              </w:rPr>
              <w:t>5</w:t>
            </w:r>
          </w:p>
        </w:tc>
        <w:tc>
          <w:tcPr>
            <w:tcW w:type="dxa" w:w="2938"/>
          </w:tcPr>
          <w:p>
            <w:pPr>
              <w:spacing w:after="0"/>
            </w:pPr>
            <w:r/>
            <w:r>
              <w:rPr>
                <w:rFonts w:ascii="Times New Roman" w:hAnsi="Times New Roman"/>
                <w:b w:val="0"/>
                <w:i w:val="0"/>
                <w:sz w:val="16"/>
              </w:rPr>
              <w:t>Kao P2 and DKG claims (P4)</w:t>
            </w:r>
          </w:p>
        </w:tc>
        <w:tc>
          <w:tcPr>
            <w:tcW w:type="dxa" w:w="1506"/>
          </w:tcPr>
          <w:p>
            <w:pPr>
              <w:spacing w:after="0"/>
            </w:pPr>
            <w:r/>
            <w:r>
              <w:rPr>
                <w:rFonts w:ascii="Times New Roman" w:hAnsi="Times New Roman"/>
                <w:b w:val="0"/>
                <w:i w:val="0"/>
                <w:sz w:val="16"/>
              </w:rPr>
              <w:t>Confirmed-or-refuted note</w:t>
            </w:r>
          </w:p>
        </w:tc>
      </w:tr>
      <w:tr>
        <w:tc>
          <w:tcPr>
            <w:tcW w:type="dxa" w:w="452"/>
          </w:tcPr>
          <w:p>
            <w:pPr>
              <w:spacing w:after="0"/>
            </w:pPr>
            <w:r/>
            <w:r>
              <w:rPr>
                <w:rFonts w:ascii="Times New Roman" w:hAnsi="Times New Roman"/>
                <w:b w:val="0"/>
                <w:i w:val="0"/>
                <w:sz w:val="16"/>
              </w:rPr>
              <w:t>6</w:t>
            </w:r>
          </w:p>
        </w:tc>
        <w:tc>
          <w:tcPr>
            <w:tcW w:type="dxa" w:w="2938"/>
          </w:tcPr>
          <w:p>
            <w:pPr>
              <w:spacing w:after="0"/>
            </w:pPr>
            <w:r/>
            <w:r>
              <w:rPr>
                <w:rFonts w:ascii="Times New Roman" w:hAnsi="Times New Roman"/>
                <w:b w:val="0"/>
                <w:i w:val="0"/>
                <w:sz w:val="16"/>
              </w:rPr>
              <w:t>Rerun on reference code once packages appear</w:t>
            </w:r>
          </w:p>
        </w:tc>
        <w:tc>
          <w:tcPr>
            <w:tcW w:type="dxa" w:w="1506"/>
          </w:tcPr>
          <w:p>
            <w:pPr>
              <w:spacing w:after="0"/>
            </w:pPr>
            <w:r/>
            <w:r>
              <w:rPr>
                <w:rFonts w:ascii="Times New Roman" w:hAnsi="Times New Roman"/>
                <w:b w:val="0"/>
                <w:i w:val="0"/>
                <w:sz w:val="16"/>
              </w:rPr>
              <w:t>Updated results</w:t>
            </w:r>
          </w:p>
        </w:tc>
      </w:tr>
    </w:tbl>
    <w:p>
      <w:pPr>
        <w:spacing w:after="40"/>
      </w:pPr>
    </w:p>
    <w:p>
      <w:pPr>
        <w:keepNext/>
        <w:spacing w:before="100" w:after="40"/>
      </w:pPr>
      <w:r>
        <w:rPr>
          <w:rFonts w:ascii="Times New Roman" w:hAnsi="Times New Roman"/>
          <w:b w:val="0"/>
          <w:i/>
          <w:sz w:val="20"/>
        </w:rPr>
        <w:t>G.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II-I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jc w:val="center"/>
      </w:pPr>
      <w:r>
        <w:rPr>
          <w:rFonts w:ascii="Times New Roman" w:hAnsi="Times New Roman"/>
          <w:b w:val="0"/>
          <w:i w:val="0"/>
          <w:sz w:val="20"/>
        </w:rPr>
        <w:t>IV. 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twenty-three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jc w:val="both"/>
      </w:pPr>
      <w:r>
        <w:rPr>
          <w:rFonts w:ascii="Times New Roman" w:hAnsi="Times New Roman"/>
          <w:b/>
          <w:i w:val="0"/>
          <w:sz w:val="20"/>
        </w:rPr>
        <w:t>Why the open problems are tractable in a course-scale project.</w:t>
      </w:r>
      <w:r>
        <w:rPr>
          <w:rFonts w:ascii="Times New Roman" w:hAnsi="Times New Roman"/>
          <w:b w:val="0"/>
          <w:i w:val="0"/>
          <w:sz w:val="20"/>
        </w:rPr>
        <w:t xml:space="preserve"> Each of P1–P4 reduces to a bounded computation. P1 needs a simulator that emits (c, v) pairs and an estimator, both of which are linear-algebra code that runs on a laptop at reduced dimension and on a workstation at full dimension. P2 is a numerical integral over the acceptance region of the hyperball sampler followed by a lattice-estimator call. P3 is a two-sample test on transcript statistics. P4 is algebra on a published protocol and a small toy implementation. None requires access to proprietary code or hardware, and none depends on solving a hard lattice problem at full security parameters, because the attacks of interest exploit leakage rather than breaking MLWE. The main resource is therefore careful engineering and sample budget, not new mathematics, which keeps the project feasible while still addressing questions that the designers' own papers leave open.</w:t>
      </w:r>
    </w:p>
    <w:p>
      <w:pPr>
        <w:jc w:val="both"/>
      </w:pPr>
      <w:r>
        <w:rPr>
          <w:rFonts w:ascii="Times New Roman" w:hAnsi="Times New Roman"/>
          <w:b/>
          <w:i w:val="0"/>
          <w:sz w:val="20"/>
        </w:rPr>
        <w:t>Positioning against existing work.</w:t>
      </w:r>
      <w:r>
        <w:rPr>
          <w:rFonts w:ascii="Times New Roman" w:hAnsi="Times New Roman"/>
          <w:b w:val="0"/>
          <w:i w:val="0"/>
          <w:sz w:val="20"/>
        </w:rPr>
        <w:t xml:space="preserve"> Prior cryptanalysis of lattice signatures [17]–[20] targets a single signer whose implementation leaks through a physical side channel. Here the leakage is logical: it is part of the protocol transcript, visible to any observer or corrupted party, and independent of hardware. This changes both the threat model, where the adversary is a protocol participant, and the estimators, where the noise distribution is known exactly from the specification rather than measured. It also means results transfer across implementations, which is why a specification-level harness is more valuable than any single code audit. Conversely, schemes that were analysed only by proof, such as Quorus and Trilithium, gain an independent empirical check that proofs alone cannot provide.</w:t>
      </w:r>
    </w:p>
    <w:p>
      <w:pPr>
        <w:jc w:val="both"/>
      </w:pPr>
      <w:r>
        <w:rPr>
          <w:rFonts w:ascii="Times New Roman" w:hAnsi="Times New Roman"/>
          <w:b/>
          <w:i w:val="0"/>
          <w:sz w:val="20"/>
        </w:rPr>
        <w:t>Summary of findings by research question.</w:t>
      </w:r>
      <w:r>
        <w:rPr>
          <w:rFonts w:ascii="Times New Roman" w:hAnsi="Times New Roman"/>
          <w:b w:val="0"/>
          <w:i w:val="0"/>
          <w:sz w:val="20"/>
        </w:rPr>
        <w:t xml:space="preserve"> The survey was guided by four questions. (RQ1) Which threshold ML-DSA designs exist and how do they differ? Four First-Call proposals, distinguished by corruption model, party count and round complexity (Table of Section II-B). (RQ2) Which are known to be broken? Earlier TALUS versions, by two independent attacks [13]; none of the others in public. (RQ3) Which techniques can break a scheme of this kind? Linear inversion of published A·x, nonce-leak recovery, ILWE by least squares, ILP on rejection bounds and robust regression ([13], [17]–[19]). (RQ4) Where is the evidence thinnest? In heuristics (Trilithium), margins (TALUS cap), and distributional deviations (Mithril). These answers directly produce the four open problems of Section III and the ordering of the Phase 2 plan.</w:t>
      </w:r>
    </w:p>
    <w:p>
      <w:pPr>
        <w:jc w:val="both"/>
      </w:pPr>
      <w:r>
        <w:rPr>
          <w:rFonts w:ascii="Times New Roman" w:hAnsi="Times New Roman"/>
          <w:b/>
          <w:i w:val="0"/>
          <w:sz w:val="20"/>
        </w:rPr>
        <w:t>Phase 2 milestones and acceptance tests.</w:t>
      </w:r>
      <w:r>
        <w:rPr>
          <w:rFonts w:ascii="Times New Roman" w:hAnsi="Times New Roman"/>
          <w:b w:val="0"/>
          <w:i w:val="0"/>
          <w:sz w:val="20"/>
        </w:rPr>
        <w:t xml:space="preserve"> Phase 2 is organised so that each milestone has a pass/fail test. M1: the primitives reproduce FIPS 204 known-answer vectors for all three parameter sets. M2: a deliberately leaky scheme (publishing A·s1) is broken in one signature by the Gaussian-elimination estimator. M3: the TALUS-without-check simulator is broken by least squares at a sample count within a factor of two of the formula in Table I, at reduced parameters. M4: the bounded-noise estimator beats least squares by the stated margin or the report explains why not. M5 and M6: simulators for Mithril, Quorus and Trilithium produce transcripts that follow the specifications, as checked by an independent reading of each paper. M7: the written results state, for each scheme, either an attack or a bound. Failing M1 or M2 stops the project until fixed, because later results would be untrustworthy; failing M4 is itself an informative outcome. This staging also gives an early signal if the schedule slips.</w:t>
      </w:r>
    </w:p>
    <w:p>
      <w:pPr>
        <w:jc w:val="both"/>
      </w:pPr>
      <w:r>
        <w:rPr>
          <w:rFonts w:ascii="Times New Roman" w:hAnsi="Times New Roman"/>
          <w:b/>
          <w:i w:val="0"/>
          <w:sz w:val="20"/>
        </w:rPr>
        <w:t>Future directions.</w:t>
      </w:r>
      <w:r>
        <w:rPr>
          <w:rFonts w:ascii="Times New Roman" w:hAnsi="Times New Roman"/>
          <w:b w:val="0"/>
          <w:i w:val="0"/>
          <w:sz w:val="20"/>
        </w:rPr>
        <w:t xml:space="preserve"> Beyond Phase 2, three extensions are natural. The first is adaptive corruption, which Mithril argues heuristically and which would require simulators that let the adversary choose whom to corrupt after seeing partial transcripts. The second is proactive security, where shares are refreshed periodically; this interacts with TALUS's per-key cap and could turn key rotation into share rotation without changing the public key. The third is a formal treatment of statistical leakage across rejected attempts, giving a theorem that bounds the information an adversary gains from aborted transcripts as a function of the acceptance probability, which would replace today's heuristics with a proof.</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IACR ePrint 2026/013, 2026.</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Mithril team, “Mithril: Efficient threshold ML-DSA from secret sharing with short shares,” </w:t>
      </w:r>
      <w:r>
        <w:rPr>
          <w:rFonts w:ascii="Times New Roman" w:hAnsi="Times New Roman"/>
          <w:b w:val="0"/>
          <w:i/>
          <w:sz w:val="16"/>
        </w:rPr>
        <w:t>NIST MPTC First Call preview writeup PW01,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IACR ePrint 2025/1163, 2025.</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TALUS team, “TALUS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2020.</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