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Ashmit Dhown (f20230205) · 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Metadata of 22 of the 24 references were verified online by 1 October 2026; the two classical references (Shamir [21], Feldman [22])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scheme implementation code was run. The only experiment so far is a small simulation of the ILWE least-squares estimator on synthetic TALUS-style data (Section 3.5); it was not run against any scheme's reference code.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Each party publishes a full MLWE-sample commitment (so the Gaussian-elimination attack on bare A·x does not apply) and responses are rejection-sampled over hyperballs. Its proof uses Rényi divergence and therefore covers only Q_s = 2^50 signing queries, with K parallel repetitions per attempt to amplify the success probability.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the protocol is given both for unmodified ML-DSA and for the Quorus-style variant with a CRP-supplied noise term e_w. It is part of Cybernetica's SplitKey submission [9], is secure against one malicious party among server, phone and CRP, and the writeup concedes that a malicious CRP can mount selective-disclosure attacks that the authors consider harmless for the intended use. It publishes the high bits w_H even for rejected attempts, and its security argument for this rests on an MLWR-type assumption that the paper itself calls non-standard for ML-DSA parameters (Quorus [8] describes the same point as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paper states that its cap-based shield for the s2 channel is model-supported rather than proven.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Its Irwin–Hall analysis bounds the security loss by 0.013 bits per signing query, with the proved bound stated as non-vacuous for q_s &lt; 16,000, whereas [10] later proves a passive attack near 2^30 signatures for any scheme revealing such a summed nonce.</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the proof covers only Q_s = 2^50 signing queries, below the 2^64 usually assumed for signatures.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must be computed concretely beyond the proven Q_s = 2^50 up to the 2^64 queries NIST typically assumes for signatures.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paper publishes w_H even in rejected runs and states openly that this needs an MLWR-type assumption, noting that related work either adds a noise term (as Quorus does), introduces a rejected-decisional assumption, or treats the question as open. This is the most attackable claim. Because the nonce y is fresh in every attempt, each published w_H is an LWR-style sample under a new secret, so any accumulation of information about s1 or s2 must come through the rejection events. The rejection-check result is declassified to both parties, so the bits revealed about c·s2 per attempt should be bounded. The correlated randomness provider is a trusted third party that, per the writeup, can mount selective-disclosure attacks the authors consider harmless,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The authors [10] already price the s2 channel: below an integer-uniqueness wall q_uniq ≈ 2^15.2/2^16.4/2^16.2 the noisy observations O = r0 + c(t0 − s2) cannot by themselves determine s2, and the cap of 2^13–2^14 sits about two bits below it. Because the public key already determines s2, protection is computational: they model a syndrome meet-in-the-middle at cost 2^{H/2} with residual entropy H ≥ 502 (about 2^160), but the only proven floor is about 2^58/2^49 at ML-DSA-65/87 (below 128 bits), and ML-DSA-44 has no public cokernel (k = ℓ). Problem P1 is therefore to measure the true cost of recovering s′ given at most 2^14 sharp-edged observations, with bounded-noise estimators, ILP and hint-integrating lattice estimators, and to compare it with the modelled and proven figures. A cost well below 2^128 at the cap would break the design; a cost near the model would give independent support for it.</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compare it with the proven Q_s = 2^50 and the 2^64 usually assumed.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Trilithium and Mithril).</w:t>
      </w:r>
      <w:r>
        <w:rPr>
          <w:rFonts w:ascii="Times New Roman" w:hAnsi="Times New Roman"/>
          <w:b w:val="0"/>
          <w:i w:val="0"/>
          <w:sz w:val="20"/>
        </w:rPr>
        <w:t xml:space="preserve"> Quorus and Trilithium release the high bits w_H and the challenge c for rejected attempts, and Mithril releases each party's full commitment w_i = [A|I]·r_i (a complete MLWE sample, not a bare A·x) even when its partial response is rejected. Quorus adds a noise term e_w to w so that this is provably simulatable, while Trilithium keeps unmodified ML-DSA and relies on an MLWR-type assumption. Test whether the rejected-attempt transcripts, together with the accept or reject bit, carry any dependence on s1 or s2, using regression and ILP-style tests, and quantify the hardness of the underlying rounding instances with the lattice estimator. A positive result in Trilithium would show the assumption fails at ML-DSA parameters; a null result bounds it. The rejection bit declassified in Trilithium should also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states that in profile P2 the broadcast commitments are hidden only when |S∖C| ≥ 2, and its own Remark 15 argues that an exposed λ_h·A·y_h gives y_h by linear algebra and then s_{1,h} = c⁻¹(z_h − y_h). With |S| = T and T−1 corrupted parties inside S we have |S∖C| = 1, so by the paper's own argument the key would fall, yet Table 1 credits P2 with dishonest-majority unforgeability. Decide whether P2 is secure only for |S| ≥ T+1, and whether the Feldman-style DKG commitments show the A·s1,i pattern broken in [13] (the paper itself uses a trusted dealer for key generation).</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hint-aware estimators beat the least-squares sample estimate by a wide margin, and the criterion is a measured work cost for recovering s′ at 2^14 observations, checked by recovering the key against the public key at reduced parameters. For P2 we hypothesise that the Fisher information per signature is small enough that the wall exceeds 2^64 (well above the proven 2^50), so a null result is the expected outcome and the criterion is a numerical bound with its derivation. For P3 we hypothesise that Quorus's reveal-on-reject is simulatable as claimed because of the added noise, while Trilithium's MLWR-type assumption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the proven 2^50 and the assumed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Preliminary result.</w:t>
      </w:r>
      <w:r>
        <w:rPr>
          <w:rFonts w:ascii="Times New Roman" w:hAnsi="Times New Roman"/>
          <w:b w:val="0"/>
          <w:i w:val="0"/>
          <w:sz w:val="20"/>
        </w:rPr>
        <w:t xml:space="preserve"> A first harness (18 unit tests) simulates b = −c·s + e, e = LowBits(w), for ML-DSA-44 and recovers s by least squares. Measured error matches γ2/√(3τN) within 3% (N = 5,000 to 160,000). Extrapolating, rounding all 1,024 coefficients of s2 needs about 3.6×10^9 signatures (50% success), roughly 12 times the 4γ2²/(3τ) formula. This model ignores t0, bounded noise and lattice reduction and does not reproduce Niot's derivation [13]; read the formula as an order of magnitude.</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that matches the measured error law γ₂/√(3τN); a preliminary run shows that rounding every coefficient of s2 needs about 12 times the Table I formula for ML-DSA-44, so M3 must explain this gap,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