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Breaking the Threshold: A Systematic Cryptanalysis of Threshold ML-DSA Submissions to the NIST Multi-Party Threshold Call</w:t>
      </w:r>
    </w:p>
    <w:p>
      <w:pPr>
        <w:jc w:val="center"/>
      </w:pPr>
      <w:r>
        <w:rPr>
          <w:rFonts w:ascii="Times New Roman" w:hAnsi="Times New Roman"/>
          <w:b w:val="0"/>
          <w:i w:val="0"/>
          <w:sz w:val="20"/>
        </w:rPr>
        <w:t>Phase 1 Report (revised, with Phase 2 results) – Cryptography, BITS Pilani, Dubai Campus</w:t>
      </w:r>
    </w:p>
    <w:p>
      <w:pPr>
        <w:jc w:val="center"/>
      </w:pPr>
      <w:r>
        <w:rPr>
          <w:rFonts w:ascii="Times New Roman" w:hAnsi="Times New Roman"/>
          <w:b w:val="0"/>
          <w:i/>
          <w:sz w:val="20"/>
        </w:rPr>
        <w:t>Ashmit Dhown (f20230205) · Srivathsa H Honyal (f20230198)</w:t>
      </w:r>
    </w:p>
    <w:p>
      <w:pPr>
        <w:jc w:val="both"/>
      </w:pPr>
      <w:r>
        <w:rPr>
          <w:rFonts w:ascii="Times New Roman" w:hAnsi="Times New Roman"/>
          <w:b/>
          <w:i w:val="0"/>
          <w:sz w:val="20"/>
        </w:rPr>
        <w:t>Abstract—</w:t>
      </w:r>
      <w:r>
        <w:rPr>
          <w:rFonts w:ascii="Times New Roman" w:hAnsi="Times New Roman"/>
          <w:b w:val="0"/>
          <w:i w:val="0"/>
          <w:sz w:val="20"/>
        </w:rPr>
        <w:t>ML-DSA (FIPS 204) is the NIST-standardised lattice-based digital signature, designed for a single signer. Splitting its key among several parties is hard because rejection sampling and rounding do not combine well with secret sharing. NIST's 2026 First Call for multi-party threshold schemes (IR 8214C) has four proposals whose signatures verify under an unmodified ML-DSA verifier: Mithril, Quorus, SplitForge/Trilithium and TALUS. We survey twenty-four sources on these schemes and on leakage attacks against lattice signatures, and make the TALUS per-key signing cap our core problem. A leakage-testing harness built in Phase 2 (ML-DSA passing 81 NIST ACVP vectors, scheme views, least-squares, bounded-noise and integer-programming estimators) recovers the TALUS s2 channel secret of one ML-DSA-44 ring element from about 7×10^4 signatures (2^16.1), which is 3.1 bits above the cap and 0.9 bits above the authors' uniqueness wall in our channel model: a thinner margin, not a break. Controls give 9/9 recoveries on a leaky variant and 0/18 false keys on genuine ML-DSA. Along the way we reproduce both published attacks on an early TALUS version and find a parameter-proof gap in Mithril and a one-signature key exposure in a predecessor design; the latter two await coordinated disclosure.</w:t>
      </w:r>
    </w:p>
    <w:p>
      <w:pPr>
        <w:jc w:val="both"/>
      </w:pPr>
      <w:r>
        <w:rPr>
          <w:rFonts w:ascii="Times New Roman" w:hAnsi="Times New Roman"/>
          <w:b/>
          <w:i/>
          <w:sz w:val="20"/>
        </w:rPr>
        <w:t>Index Terms—</w:t>
      </w:r>
      <w:r>
        <w:rPr>
          <w:rFonts w:ascii="Times New Roman" w:hAnsi="Times New Roman"/>
          <w:b w:val="0"/>
          <w:i/>
          <w:sz w:val="20"/>
        </w:rPr>
        <w:t>ML-DSA, FIPS 204, threshold signatures, lattice cryptography, cryptanalysis, integer LWE, rejection sampling.</w:t>
      </w:r>
    </w:p>
    <w:p>
      <w:pPr>
        <w:sectPr>
          <w:pgSz w:w="11909" w:h="16834"/>
          <w:pgMar w:top="1152" w:right="1080" w:bottom="1152" w:left="1080" w:header="720" w:footer="720" w:gutter="0"/>
          <w:cols w:space="720"/>
          <w:docGrid w:linePitch="360"/>
        </w:sectPr>
      </w:pPr>
    </w:p>
    <w:p>
      <w:pPr>
        <w:keepNext/>
        <w:spacing w:before="160" w:after="60"/>
        <w:jc w:val="center"/>
      </w:pPr>
      <w:r>
        <w:rPr>
          <w:rFonts w:ascii="Times New Roman" w:hAnsi="Times New Roman"/>
          <w:b w:val="0"/>
          <w:i w:val="0"/>
          <w:sz w:val="20"/>
        </w:rPr>
        <w:t>I. INTRODUCTION</w:t>
      </w:r>
    </w:p>
    <w:p>
      <w:pPr>
        <w:jc w:val="both"/>
      </w:pPr>
      <w:r>
        <w:rPr>
          <w:rFonts w:ascii="Times New Roman" w:hAnsi="Times New Roman"/>
          <w:b/>
          <w:i w:val="0"/>
          <w:sz w:val="20"/>
        </w:rPr>
        <w:t>Digital signatures and the quantum threat.</w:t>
      </w:r>
      <w:r>
        <w:rPr>
          <w:rFonts w:ascii="Times New Roman" w:hAnsi="Times New Roman"/>
          <w:b w:val="0"/>
          <w:i w:val="0"/>
          <w:sz w:val="20"/>
        </w:rPr>
        <w:t xml:space="preserve"> A digital signature lets a signer prove that a message came from them and was not altered. RSA and ECDSA would be broken by a large quantum computer, so NIST standardised post-quantum replacements. ML-DSA, specified in FIPS 204 [1] and derived from CRYSTALS-Dilithium [2], is the primary choice; its security rests on the lattice problems Module-LWE (learning with errors) and Module-SIS.</w:t>
      </w:r>
    </w:p>
    <w:p>
      <w:pPr>
        <w:jc w:val="both"/>
      </w:pPr>
      <w:r>
        <w:rPr>
          <w:rFonts w:ascii="Times New Roman" w:hAnsi="Times New Roman"/>
          <w:b/>
          <w:i w:val="0"/>
          <w:sz w:val="20"/>
        </w:rPr>
        <w:t>How ML-DSA signs.</w:t>
      </w:r>
      <w:r>
        <w:rPr>
          <w:rFonts w:ascii="Times New Roman" w:hAnsi="Times New Roman"/>
          <w:b w:val="0"/>
          <w:i w:val="0"/>
          <w:sz w:val="20"/>
        </w:rPr>
        <w:t xml:space="preserve"> Intuitively, the signer hides its secret inside a random-looking answer and throws the answer away whenever it might give the secret away. Formally, all arithmetic is in the ring R_q = Z_q[X]/(X^n+1): polynomials of degree below n = 256 with coefficients modulo the prime q = 8380417. A is a public k×ℓ matrix of such polynomials. The secret key is a pair of short vectors (s1, s2) whose coefficients lie in [−η, η], and the public key is t = A·s1 + s2, of which only the high part t1 is published (t = t1·2^d + t0 with d = 13 dropped bits t0). To sign, the signer samples a random nonce y with coefficients below γ1, computes w = A·y and its high bits w1 = HighBits(w), derives a challenge c = H(msg, w1), a polynomial with exactly τ coefficients equal to ±1 and the rest 0, and outputs z = y + c·s1 with a short hint h. Here ‖x‖∞ denotes the largest absolute coefficient of x, and β = τ·η bounds ‖c·s‖∞ for any secret s. Two rejection checks are applied: ‖z‖∞ &lt; γ1 − β, which hides s1, and ‖LowBits(w − c·s2)‖∞ &lt; γ2 − β, which hides s2 (γ2 is the rounding range of LowBits). If either fails the signer restarts with a fresh y. This “Fiat–Shamir with aborts” structure makes accepted signatures statistically independent of the key. Table I lists the parameter values.</w:t>
      </w:r>
    </w:p>
    <w:p>
      <w:pPr>
        <w:keepNext/>
        <w:spacing w:after="40"/>
        <w:jc w:val="center"/>
      </w:pPr>
      <w:r>
        <w:rPr>
          <w:rFonts w:ascii="Times New Roman" w:hAnsi="Times New Roman"/>
          <w:b w:val="0"/>
          <w:i w:val="0"/>
          <w:sz w:val="16"/>
        </w:rPr>
        <w:t xml:space="preserve">TABLE I. </w:t>
      </w:r>
      <w:r>
        <w:rPr>
          <w:rFonts w:ascii="Times New Roman" w:hAnsi="Times New Roman"/>
          <w:b w:val="0"/>
          <w:i w:val="0"/>
          <w:sz w:val="16"/>
        </w:rPr>
        <w:t>ML-DSA parameter sets [1]</w:t>
      </w:r>
    </w:p>
    <w:tbl>
      <w:tblPr>
        <w:tblStyle w:val="TableGrid"/>
        <w:tblW w:type="auto" w:w="0"/>
        <w:tblLook w:firstColumn="1" w:firstRow="1" w:lastColumn="0" w:lastRow="0" w:noHBand="0" w:noVBand="1" w:val="04A0"/>
      </w:tblPr>
      <w:tblGrid>
        <w:gridCol w:w="1393"/>
        <w:gridCol w:w="1393"/>
        <w:gridCol w:w="1393"/>
        <w:gridCol w:w="1393"/>
        <w:gridCol w:w="1393"/>
        <w:gridCol w:w="1393"/>
        <w:gridCol w:w="1393"/>
      </w:tblGrid>
      <w:tr>
        <w:tc>
          <w:tcPr>
            <w:tcW w:type="dxa" w:w="1360"/>
            <w:shd w:val="clear" w:color="auto" w:fill="D9D9D9"/>
          </w:tcPr>
          <w:p>
            <w:pPr>
              <w:spacing w:after="0"/>
            </w:pPr>
            <w:r/>
            <w:r>
              <w:rPr>
                <w:rFonts w:ascii="Times New Roman" w:hAnsi="Times New Roman"/>
                <w:b/>
                <w:i w:val="0"/>
                <w:sz w:val="16"/>
              </w:rPr>
              <w:t>Set</w:t>
            </w:r>
          </w:p>
        </w:tc>
        <w:tc>
          <w:tcPr>
            <w:tcW w:type="dxa" w:w="635"/>
            <w:shd w:val="clear" w:color="auto" w:fill="D9D9D9"/>
          </w:tcPr>
          <w:p>
            <w:pPr>
              <w:spacing w:after="0"/>
            </w:pPr>
            <w:r/>
            <w:r>
              <w:rPr>
                <w:rFonts w:ascii="Times New Roman" w:hAnsi="Times New Roman"/>
                <w:b/>
                <w:i w:val="0"/>
                <w:sz w:val="16"/>
              </w:rPr>
              <w:t>NIST cat.</w:t>
            </w:r>
          </w:p>
        </w:tc>
        <w:tc>
          <w:tcPr>
            <w:tcW w:type="dxa" w:w="725"/>
            <w:shd w:val="clear" w:color="auto" w:fill="D9D9D9"/>
          </w:tcPr>
          <w:p>
            <w:pPr>
              <w:spacing w:after="0"/>
            </w:pPr>
            <w:r/>
            <w:r>
              <w:rPr>
                <w:rFonts w:ascii="Times New Roman" w:hAnsi="Times New Roman"/>
                <w:b/>
                <w:i w:val="0"/>
                <w:sz w:val="16"/>
              </w:rPr>
              <w:t>(k, ℓ)</w:t>
            </w:r>
          </w:p>
        </w:tc>
        <w:tc>
          <w:tcPr>
            <w:tcW w:type="dxa" w:w="363"/>
            <w:shd w:val="clear" w:color="auto" w:fill="D9D9D9"/>
          </w:tcPr>
          <w:p>
            <w:pPr>
              <w:spacing w:after="0"/>
            </w:pPr>
            <w:r/>
            <w:r>
              <w:rPr>
                <w:rFonts w:ascii="Times New Roman" w:hAnsi="Times New Roman"/>
                <w:b/>
                <w:i w:val="0"/>
                <w:sz w:val="16"/>
              </w:rPr>
              <w:t>η</w:t>
            </w:r>
          </w:p>
        </w:tc>
        <w:tc>
          <w:tcPr>
            <w:tcW w:type="dxa" w:w="363"/>
            <w:shd w:val="clear" w:color="auto" w:fill="D9D9D9"/>
          </w:tcPr>
          <w:p>
            <w:pPr>
              <w:spacing w:after="0"/>
            </w:pPr>
            <w:r/>
            <w:r>
              <w:rPr>
                <w:rFonts w:ascii="Times New Roman" w:hAnsi="Times New Roman"/>
                <w:b/>
                <w:i w:val="0"/>
                <w:sz w:val="16"/>
              </w:rPr>
              <w:t>τ</w:t>
            </w:r>
          </w:p>
        </w:tc>
        <w:tc>
          <w:tcPr>
            <w:tcW w:type="dxa" w:w="544"/>
            <w:shd w:val="clear" w:color="auto" w:fill="D9D9D9"/>
          </w:tcPr>
          <w:p>
            <w:pPr>
              <w:spacing w:after="0"/>
            </w:pPr>
            <w:r/>
            <w:r>
              <w:rPr>
                <w:rFonts w:ascii="Times New Roman" w:hAnsi="Times New Roman"/>
                <w:b/>
                <w:i w:val="0"/>
                <w:sz w:val="16"/>
              </w:rPr>
              <w:t>γ1</w:t>
            </w:r>
          </w:p>
        </w:tc>
        <w:tc>
          <w:tcPr>
            <w:tcW w:type="dxa" w:w="907"/>
            <w:shd w:val="clear" w:color="auto" w:fill="D9D9D9"/>
          </w:tcPr>
          <w:p>
            <w:pPr>
              <w:spacing w:after="0"/>
            </w:pPr>
            <w:r/>
            <w:r>
              <w:rPr>
                <w:rFonts w:ascii="Times New Roman" w:hAnsi="Times New Roman"/>
                <w:b/>
                <w:i w:val="0"/>
                <w:sz w:val="16"/>
              </w:rPr>
              <w:t>γ2</w:t>
            </w:r>
          </w:p>
        </w:tc>
      </w:tr>
      <w:tr>
        <w:tc>
          <w:tcPr>
            <w:tcW w:type="dxa" w:w="1360"/>
          </w:tcPr>
          <w:p>
            <w:pPr>
              <w:spacing w:after="0"/>
            </w:pPr>
            <w:r/>
            <w:r>
              <w:rPr>
                <w:rFonts w:ascii="Times New Roman" w:hAnsi="Times New Roman"/>
                <w:b w:val="0"/>
                <w:i w:val="0"/>
                <w:sz w:val="16"/>
              </w:rPr>
              <w:t>ML-DSA-44</w:t>
            </w:r>
          </w:p>
        </w:tc>
        <w:tc>
          <w:tcPr>
            <w:tcW w:type="dxa" w:w="635"/>
          </w:tcPr>
          <w:p>
            <w:pPr>
              <w:spacing w:after="0"/>
            </w:pPr>
            <w:r/>
            <w:r>
              <w:rPr>
                <w:rFonts w:ascii="Times New Roman" w:hAnsi="Times New Roman"/>
                <w:b w:val="0"/>
                <w:i w:val="0"/>
                <w:sz w:val="16"/>
              </w:rPr>
              <w:t>2</w:t>
            </w:r>
          </w:p>
        </w:tc>
        <w:tc>
          <w:tcPr>
            <w:tcW w:type="dxa" w:w="725"/>
          </w:tcPr>
          <w:p>
            <w:pPr>
              <w:spacing w:after="0"/>
            </w:pPr>
            <w:r/>
            <w:r>
              <w:rPr>
                <w:rFonts w:ascii="Times New Roman" w:hAnsi="Times New Roman"/>
                <w:b w:val="0"/>
                <w:i w:val="0"/>
                <w:sz w:val="16"/>
              </w:rPr>
              <w:t>(4, 4)</w:t>
            </w:r>
          </w:p>
        </w:tc>
        <w:tc>
          <w:tcPr>
            <w:tcW w:type="dxa" w:w="363"/>
          </w:tcPr>
          <w:p>
            <w:pPr>
              <w:spacing w:after="0"/>
            </w:pPr>
            <w:r/>
            <w:r>
              <w:rPr>
                <w:rFonts w:ascii="Times New Roman" w:hAnsi="Times New Roman"/>
                <w:b w:val="0"/>
                <w:i w:val="0"/>
                <w:sz w:val="16"/>
              </w:rPr>
              <w:t>2</w:t>
            </w:r>
          </w:p>
        </w:tc>
        <w:tc>
          <w:tcPr>
            <w:tcW w:type="dxa" w:w="363"/>
          </w:tcPr>
          <w:p>
            <w:pPr>
              <w:spacing w:after="0"/>
            </w:pPr>
            <w:r/>
            <w:r>
              <w:rPr>
                <w:rFonts w:ascii="Times New Roman" w:hAnsi="Times New Roman"/>
                <w:b w:val="0"/>
                <w:i w:val="0"/>
                <w:sz w:val="16"/>
              </w:rPr>
              <w:t>39</w:t>
            </w:r>
          </w:p>
        </w:tc>
        <w:tc>
          <w:tcPr>
            <w:tcW w:type="dxa" w:w="544"/>
          </w:tcPr>
          <w:p>
            <w:pPr>
              <w:spacing w:after="0"/>
            </w:pPr>
            <w:r/>
            <w:r>
              <w:rPr>
                <w:rFonts w:ascii="Times New Roman" w:hAnsi="Times New Roman"/>
                <w:b w:val="0"/>
                <w:i w:val="0"/>
                <w:sz w:val="16"/>
              </w:rPr>
              <w:t>2^17</w:t>
            </w:r>
          </w:p>
        </w:tc>
        <w:tc>
          <w:tcPr>
            <w:tcW w:type="dxa" w:w="907"/>
          </w:tcPr>
          <w:p>
            <w:pPr>
              <w:spacing w:after="0"/>
            </w:pPr>
            <w:r/>
            <w:r>
              <w:rPr>
                <w:rFonts w:ascii="Times New Roman" w:hAnsi="Times New Roman"/>
                <w:b w:val="0"/>
                <w:i w:val="0"/>
                <w:sz w:val="16"/>
              </w:rPr>
              <w:t>(q−1)/88</w:t>
            </w:r>
          </w:p>
        </w:tc>
      </w:tr>
      <w:tr>
        <w:tc>
          <w:tcPr>
            <w:tcW w:type="dxa" w:w="1360"/>
          </w:tcPr>
          <w:p>
            <w:pPr>
              <w:spacing w:after="0"/>
            </w:pPr>
            <w:r/>
            <w:r>
              <w:rPr>
                <w:rFonts w:ascii="Times New Roman" w:hAnsi="Times New Roman"/>
                <w:b w:val="0"/>
                <w:i w:val="0"/>
                <w:sz w:val="16"/>
              </w:rPr>
              <w:t>ML-DSA-65</w:t>
            </w:r>
          </w:p>
        </w:tc>
        <w:tc>
          <w:tcPr>
            <w:tcW w:type="dxa" w:w="635"/>
          </w:tcPr>
          <w:p>
            <w:pPr>
              <w:spacing w:after="0"/>
            </w:pPr>
            <w:r/>
            <w:r>
              <w:rPr>
                <w:rFonts w:ascii="Times New Roman" w:hAnsi="Times New Roman"/>
                <w:b w:val="0"/>
                <w:i w:val="0"/>
                <w:sz w:val="16"/>
              </w:rPr>
              <w:t>3</w:t>
            </w:r>
          </w:p>
        </w:tc>
        <w:tc>
          <w:tcPr>
            <w:tcW w:type="dxa" w:w="725"/>
          </w:tcPr>
          <w:p>
            <w:pPr>
              <w:spacing w:after="0"/>
            </w:pPr>
            <w:r/>
            <w:r>
              <w:rPr>
                <w:rFonts w:ascii="Times New Roman" w:hAnsi="Times New Roman"/>
                <w:b w:val="0"/>
                <w:i w:val="0"/>
                <w:sz w:val="16"/>
              </w:rPr>
              <w:t>(6, 5)</w:t>
            </w:r>
          </w:p>
        </w:tc>
        <w:tc>
          <w:tcPr>
            <w:tcW w:type="dxa" w:w="363"/>
          </w:tcPr>
          <w:p>
            <w:pPr>
              <w:spacing w:after="0"/>
            </w:pPr>
            <w:r/>
            <w:r>
              <w:rPr>
                <w:rFonts w:ascii="Times New Roman" w:hAnsi="Times New Roman"/>
                <w:b w:val="0"/>
                <w:i w:val="0"/>
                <w:sz w:val="16"/>
              </w:rPr>
              <w:t>4</w:t>
            </w:r>
          </w:p>
        </w:tc>
        <w:tc>
          <w:tcPr>
            <w:tcW w:type="dxa" w:w="363"/>
          </w:tcPr>
          <w:p>
            <w:pPr>
              <w:spacing w:after="0"/>
            </w:pPr>
            <w:r/>
            <w:r>
              <w:rPr>
                <w:rFonts w:ascii="Times New Roman" w:hAnsi="Times New Roman"/>
                <w:b w:val="0"/>
                <w:i w:val="0"/>
                <w:sz w:val="16"/>
              </w:rPr>
              <w:t>49</w:t>
            </w:r>
          </w:p>
        </w:tc>
        <w:tc>
          <w:tcPr>
            <w:tcW w:type="dxa" w:w="544"/>
          </w:tcPr>
          <w:p>
            <w:pPr>
              <w:spacing w:after="0"/>
            </w:pPr>
            <w:r/>
            <w:r>
              <w:rPr>
                <w:rFonts w:ascii="Times New Roman" w:hAnsi="Times New Roman"/>
                <w:b w:val="0"/>
                <w:i w:val="0"/>
                <w:sz w:val="16"/>
              </w:rPr>
              <w:t>2^19</w:t>
            </w:r>
          </w:p>
        </w:tc>
        <w:tc>
          <w:tcPr>
            <w:tcW w:type="dxa" w:w="907"/>
          </w:tcPr>
          <w:p>
            <w:pPr>
              <w:spacing w:after="0"/>
            </w:pPr>
            <w:r/>
            <w:r>
              <w:rPr>
                <w:rFonts w:ascii="Times New Roman" w:hAnsi="Times New Roman"/>
                <w:b w:val="0"/>
                <w:i w:val="0"/>
                <w:sz w:val="16"/>
              </w:rPr>
              <w:t>(q−1)/32</w:t>
            </w:r>
          </w:p>
        </w:tc>
      </w:tr>
      <w:tr>
        <w:tc>
          <w:tcPr>
            <w:tcW w:type="dxa" w:w="1360"/>
          </w:tcPr>
          <w:p>
            <w:pPr>
              <w:spacing w:after="0"/>
            </w:pPr>
            <w:r/>
            <w:r>
              <w:rPr>
                <w:rFonts w:ascii="Times New Roman" w:hAnsi="Times New Roman"/>
                <w:b w:val="0"/>
                <w:i w:val="0"/>
                <w:sz w:val="16"/>
              </w:rPr>
              <w:t>ML-DSA-87</w:t>
            </w:r>
          </w:p>
        </w:tc>
        <w:tc>
          <w:tcPr>
            <w:tcW w:type="dxa" w:w="635"/>
          </w:tcPr>
          <w:p>
            <w:pPr>
              <w:spacing w:after="0"/>
            </w:pPr>
            <w:r/>
            <w:r>
              <w:rPr>
                <w:rFonts w:ascii="Times New Roman" w:hAnsi="Times New Roman"/>
                <w:b w:val="0"/>
                <w:i w:val="0"/>
                <w:sz w:val="16"/>
              </w:rPr>
              <w:t>5</w:t>
            </w:r>
          </w:p>
        </w:tc>
        <w:tc>
          <w:tcPr>
            <w:tcW w:type="dxa" w:w="725"/>
          </w:tcPr>
          <w:p>
            <w:pPr>
              <w:spacing w:after="0"/>
            </w:pPr>
            <w:r/>
            <w:r>
              <w:rPr>
                <w:rFonts w:ascii="Times New Roman" w:hAnsi="Times New Roman"/>
                <w:b w:val="0"/>
                <w:i w:val="0"/>
                <w:sz w:val="16"/>
              </w:rPr>
              <w:t>(8, 7)</w:t>
            </w:r>
          </w:p>
        </w:tc>
        <w:tc>
          <w:tcPr>
            <w:tcW w:type="dxa" w:w="363"/>
          </w:tcPr>
          <w:p>
            <w:pPr>
              <w:spacing w:after="0"/>
            </w:pPr>
            <w:r/>
            <w:r>
              <w:rPr>
                <w:rFonts w:ascii="Times New Roman" w:hAnsi="Times New Roman"/>
                <w:b w:val="0"/>
                <w:i w:val="0"/>
                <w:sz w:val="16"/>
              </w:rPr>
              <w:t>2</w:t>
            </w:r>
          </w:p>
        </w:tc>
        <w:tc>
          <w:tcPr>
            <w:tcW w:type="dxa" w:w="363"/>
          </w:tcPr>
          <w:p>
            <w:pPr>
              <w:spacing w:after="0"/>
            </w:pPr>
            <w:r/>
            <w:r>
              <w:rPr>
                <w:rFonts w:ascii="Times New Roman" w:hAnsi="Times New Roman"/>
                <w:b w:val="0"/>
                <w:i w:val="0"/>
                <w:sz w:val="16"/>
              </w:rPr>
              <w:t>60</w:t>
            </w:r>
          </w:p>
        </w:tc>
        <w:tc>
          <w:tcPr>
            <w:tcW w:type="dxa" w:w="544"/>
          </w:tcPr>
          <w:p>
            <w:pPr>
              <w:spacing w:after="0"/>
            </w:pPr>
            <w:r/>
            <w:r>
              <w:rPr>
                <w:rFonts w:ascii="Times New Roman" w:hAnsi="Times New Roman"/>
                <w:b w:val="0"/>
                <w:i w:val="0"/>
                <w:sz w:val="16"/>
              </w:rPr>
              <w:t>2^19</w:t>
            </w:r>
          </w:p>
        </w:tc>
        <w:tc>
          <w:tcPr>
            <w:tcW w:type="dxa" w:w="907"/>
          </w:tcPr>
          <w:p>
            <w:pPr>
              <w:spacing w:after="0"/>
            </w:pPr>
            <w:r/>
            <w:r>
              <w:rPr>
                <w:rFonts w:ascii="Times New Roman" w:hAnsi="Times New Roman"/>
                <w:b w:val="0"/>
                <w:i w:val="0"/>
                <w:sz w:val="16"/>
              </w:rPr>
              <w:t>(q−1)/32</w:t>
            </w:r>
          </w:p>
        </w:tc>
      </w:tr>
    </w:tbl>
    <w:p>
      <w:pPr>
        <w:spacing w:after="40"/>
      </w:pPr>
    </w:p>
    <w:p>
      <w:pPr>
        <w:jc w:val="both"/>
      </w:pPr>
      <w:r>
        <w:rPr>
          <w:rFonts w:ascii="Times New Roman" w:hAnsi="Times New Roman"/>
          <w:b/>
          <w:i w:val="0"/>
          <w:sz w:val="20"/>
        </w:rPr>
        <w:t>Why rejection makes signatures safe.</w:t>
      </w:r>
      <w:r>
        <w:rPr>
          <w:rFonts w:ascii="Times New Roman" w:hAnsi="Times New Roman"/>
          <w:b w:val="0"/>
          <w:i w:val="0"/>
          <w:sz w:val="20"/>
        </w:rPr>
        <w:t xml:space="preserve"> Picture z as a point in a box. Because y is uniform on a box of half-width γ1 and c·s1 is a small shift of at most β, every point inside the smaller box of half-width γ1 − β is equally likely whichever s1 was used; accepting only those points therefore hides s1 completely. Because c has only τ nonzero entries, anything that does leak gives the attacker one noisy linear equation with small coefficients per signature, which underlies all the sample counts below. Any threshold design that changes what is accepted, what is rejected or what else is published must re-establish this independence, and this is the property we test.</w:t>
      </w:r>
    </w:p>
    <w:p>
      <w:pPr>
        <w:jc w:val="both"/>
      </w:pPr>
      <w:r>
        <w:rPr>
          <w:rFonts w:ascii="Times New Roman" w:hAnsi="Times New Roman"/>
          <w:b/>
          <w:i w:val="0"/>
          <w:sz w:val="20"/>
        </w:rPr>
        <w:t>Why thresholding is hard.</w:t>
      </w:r>
      <w:r>
        <w:rPr>
          <w:rFonts w:ascii="Times New Roman" w:hAnsi="Times New Roman"/>
          <w:b w:val="0"/>
          <w:i w:val="0"/>
          <w:sz w:val="20"/>
        </w:rPr>
        <w:t xml:space="preserve"> In a (T, N) threshold scheme any T of N parties can sign and fewer than T learn nothing. Shamir secret sharing [21] hides a secret as the constant term of a random degree-(T−1) polynomial; Feldman [22] adds commitments g^{a_i} to its coefficients; threshold Schnorr schemes such as FROST [23] simply add partial signatures. ML-DSA breaks all three conveniences: shares of a short secret are not short; HighBits is not additive, so parties cannot round their own pieces of w; the s2 check needs the full secret; and the lattice analogue of a Feldman commitment, A·x, is not hiding (Section II-C). Two facts drive most attacks below. A is tall (k ≥ ℓ), so publishing A·x reveals x by Gaussian elimination. And z = y + c·s1 holds over the integers, so any leak of the nonce y gives s1 = c⁻¹(z − y).</w:t>
      </w:r>
    </w:p>
    <w:p>
      <w:pPr>
        <w:jc w:val="both"/>
      </w:pPr>
      <w:r>
        <w:rPr>
          <w:rFonts w:ascii="Times New Roman" w:hAnsi="Times New Roman"/>
          <w:b/>
          <w:i w:val="0"/>
          <w:sz w:val="20"/>
        </w:rPr>
        <w:t>Why now, and what this report contributes.</w:t>
      </w:r>
      <w:r>
        <w:rPr>
          <w:rFonts w:ascii="Times New Roman" w:hAnsi="Times New Roman"/>
          <w:b w:val="0"/>
          <w:i w:val="0"/>
          <w:sz w:val="20"/>
        </w:rPr>
        <w:t xml:space="preserve"> NIST's First Call (IR 8214C) [3] expects preliminary packages from late 2026 and full packages not before March 2027, so scrutiny is most useful now. Following the Phase 1 review, the core problem is the TALUS signing cap (P1); the Mithril, rejected-attempt and Kao questions (P2–P4) are stretch goals. We give (i) a survey of the four proposals and the attack toolbox, (ii) the problem formulation, (iii) a working leakage-testing harness (Fig. 1) and (iv) its Phase 2 results with trial counts and seeds.</w:t>
      </w:r>
    </w:p>
    <w:p>
      <w:pPr>
        <w:jc w:val="both"/>
      </w:pPr>
      <w:r>
        <w:rPr>
          <w:rFonts w:ascii="Times New Roman" w:hAnsi="Times New Roman"/>
          <w:b/>
          <w:i w:val="0"/>
          <w:sz w:val="20"/>
        </w:rPr>
        <w:t>Survey method.</w:t>
      </w:r>
      <w:r>
        <w:rPr>
          <w:rFonts w:ascii="Times New Roman" w:hAnsi="Times New Roman"/>
          <w:b w:val="0"/>
          <w:i w:val="0"/>
          <w:sz w:val="20"/>
        </w:rPr>
        <w:t xml:space="preserve"> Sources came from the First Call submissions page, the proposals' ePrint/arXiv entries and their predecessors, and searches of ePrint, TCHES, EUROCRYPT and ASIACRYPT (“Dilithium rejected signatures ILP”, “ILWE”, “threshold lattice signatures”). A source was kept if it defines, attacks or supplies a technique against a threshold ML-DSA design. Metadata of all references were verified online (Shamir [21] and Feldman [22] against Crossref).</w:t>
      </w:r>
    </w:p>
    <w:p>
      <w:pPr>
        <w:jc w:val="both"/>
      </w:pPr>
      <w:r>
        <w:rPr>
          <w:rFonts w:ascii="Times New Roman" w:hAnsi="Times New Roman"/>
          <w:b/>
          <w:i w:val="0"/>
          <w:sz w:val="20"/>
        </w:rPr>
        <w:t>Scope and honesty note.</w:t>
      </w:r>
      <w:r>
        <w:rPr>
          <w:rFonts w:ascii="Times New Roman" w:hAnsi="Times New Roman"/>
          <w:b w:val="0"/>
          <w:i w:val="0"/>
          <w:sz w:val="20"/>
        </w:rPr>
        <w:t xml:space="preserve"> Quorus [8] and Trilithium [9] were read in full; Mithril [4] in full except Appendices D, E and most of G; Kao [12] main text and Appendices B–O. Our own harness code was run (Section IV); the schemes' reference code was not, except the Mithril authors' parameter script. Every TALUS number relies on our channel model, because the v0.22 writeup does not list the values released per signature. Results are labelled as measured, derived or hypothesis.</w:t>
      </w:r>
    </w:p>
    <w:p>
      <w:pPr>
        <w:keepNext/>
        <w:spacing w:before="160" w:after="60"/>
        <w:jc w:val="center"/>
      </w:pPr>
      <w:r>
        <w:rPr>
          <w:rFonts w:ascii="Times New Roman" w:hAnsi="Times New Roman"/>
          <w:b w:val="0"/>
          <w:i w:val="0"/>
          <w:sz w:val="20"/>
        </w:rPr>
        <w:t>II. LITERATURE SURVEY</w:t>
      </w:r>
    </w:p>
    <w:p>
      <w:pPr>
        <w:keepNext/>
        <w:spacing w:before="100" w:after="40"/>
      </w:pPr>
      <w:r>
        <w:rPr>
          <w:rFonts w:ascii="Times New Roman" w:hAnsi="Times New Roman"/>
          <w:b w:val="0"/>
          <w:i/>
          <w:sz w:val="20"/>
        </w:rPr>
        <w:t>A. Background</w:t>
      </w:r>
    </w:p>
    <w:p>
      <w:pPr>
        <w:jc w:val="both"/>
      </w:pPr>
      <w:r>
        <w:rPr>
          <w:rFonts w:ascii="Times New Roman" w:hAnsi="Times New Roman"/>
          <w:b w:val="0"/>
          <w:i w:val="0"/>
          <w:sz w:val="20"/>
        </w:rPr>
        <w:t>Dilithium [2] introduced the signing structure above and FIPS 204 [1] standardised it. Early lattice threshold signatures used threshold homomorphic encryption (Gür, Katz and Silde [16]); Threshold Raccoon [14] uses only symmetric primitives and one-time additive masks but does not output ML-DSA signatures; del Pino and Niot [24] give a compact Raccoon-based scheme limited to 2^64 signatures and about 8 parties. An earlier preprint on identifiable aborts [15] is withdrawn and listed for history only. The decisive shift is toward output that verifies under the unmodified FIPS 204 verifier, because deployed certificates and pinned keys cannot change.</w:t>
      </w:r>
    </w:p>
    <w:p>
      <w:pPr>
        <w:jc w:val="both"/>
      </w:pPr>
      <w:r>
        <w:rPr>
          <w:rFonts w:ascii="Times New Roman" w:hAnsi="Times New Roman"/>
          <w:b/>
          <w:i w:val="0"/>
          <w:sz w:val="20"/>
        </w:rPr>
        <w:t>Rounding and the public value v.</w:t>
      </w:r>
      <w:r>
        <w:rPr>
          <w:rFonts w:ascii="Times New Roman" w:hAnsi="Times New Roman"/>
          <w:b w:val="0"/>
          <w:i w:val="0"/>
          <w:sz w:val="20"/>
        </w:rPr>
        <w:t xml:space="preserve"> A hint lets the verifier recompute w1 from v = A·z − c·t1·2^d. Substituting z = y + c·s1 shows v = w − c·(s2 − t0), so v is public and carries the term c·s′ with s′ = s2 − t0. The second rejection check keeps LowBits(w) at least β away from a rounding boundary, so v reveals nothing; once the check is removed or altered, that protection disappears.</w:t>
      </w:r>
    </w:p>
    <w:p>
      <w:pPr>
        <w:keepNext/>
        <w:spacing w:before="100" w:after="40"/>
      </w:pPr>
      <w:r>
        <w:rPr>
          <w:rFonts w:ascii="Times New Roman" w:hAnsi="Times New Roman"/>
          <w:b w:val="0"/>
          <w:i/>
          <w:sz w:val="20"/>
        </w:rPr>
        <w:t>B. The four First-Call ML-DSA proposals</w:t>
      </w:r>
    </w:p>
    <w:p>
      <w:pPr>
        <w:jc w:val="both"/>
      </w:pPr>
      <w:r>
        <w:rPr>
          <w:rFonts w:ascii="Times New Roman" w:hAnsi="Times New Roman"/>
          <w:b/>
          <w:i w:val="0"/>
          <w:sz w:val="20"/>
        </w:rPr>
        <w:t>Mithril</w:t>
      </w:r>
      <w:r>
        <w:rPr>
          <w:rFonts w:ascii="Times New Roman" w:hAnsi="Times New Roman"/>
          <w:b w:val="0"/>
          <w:i w:val="0"/>
          <w:sz w:val="20"/>
        </w:rPr>
        <w:t xml:space="preserve"> [4,6,7] (PQShield, Brave, Bristol; USENIX Security 2026) uses replicated secret sharing with short shares and local rejection with hyperball (Euclidean-ball) sampling, about 1 MB per participant for up to six parties, with a Go implementation. Security is a game-based reduction to MLWE and ML-DSA unforgeability under static corruption of up to T−1 parties, without identifiable aborts. Each attempt succeeds with probability about 1/2 (ML-DSA: about 1/4), with K parallel repetitions, and each party publishes a full MLWE-sample commitment, so the bare-A·x attack does not apply. The proof uses Rényi divergence and covers Q_s = 2^50 signing queries. The superseded version [5] is not relied on. The preview writeup [7] adds that up to 8 parties remain practical, that no synchronised broadcast channel is needed, and that the Go code uses floating point for hyperball sampling.</w:t>
      </w:r>
    </w:p>
    <w:p>
      <w:pPr>
        <w:jc w:val="both"/>
      </w:pPr>
      <w:r>
        <w:rPr>
          <w:rFonts w:ascii="Times New Roman" w:hAnsi="Times New Roman"/>
          <w:b/>
          <w:i w:val="0"/>
          <w:sz w:val="20"/>
        </w:rPr>
        <w:t>Why local rejection is delicate.</w:t>
      </w:r>
      <w:r>
        <w:rPr>
          <w:rFonts w:ascii="Times New Roman" w:hAnsi="Times New Roman"/>
          <w:b w:val="0"/>
          <w:i w:val="0"/>
          <w:sz w:val="20"/>
        </w:rPr>
        <w:t xml:space="preserve"> Single-signer ML-DSA accepts a nonce only if both checks pass, about 1/4 of the time. With N parties each holding a short additive share, the sum of their responses must land in the same box, but no party knows the sum. Mithril lets each party sample its nonce share from a hyperball, so the aggregate has a predictable norm, and decides acceptance locally. The accepted responses are then close to, but not exactly, the FIPS 204 distribution; how close is a quantitative question (problem P2), not a bug.</w:t>
      </w:r>
    </w:p>
    <w:p>
      <w:pPr>
        <w:jc w:val="both"/>
      </w:pPr>
      <w:r>
        <w:rPr>
          <w:rFonts w:ascii="Times New Roman" w:hAnsi="Times New Roman"/>
          <w:b/>
          <w:i w:val="0"/>
          <w:sz w:val="20"/>
        </w:rPr>
        <w:t>Quorus</w:t>
      </w:r>
      <w:r>
        <w:rPr>
          <w:rFonts w:ascii="Times New Roman" w:hAnsi="Times New Roman"/>
          <w:b w:val="0"/>
          <w:i w:val="0"/>
          <w:sz w:val="20"/>
        </w:rPr>
        <w:t xml:space="preserve"> [8] (J.P. Morgan; USENIX Security 2026) modifies signing to be MPC-friendly while keeping FIPS 204 verification: the nonce is uniform, a small noise term e_w is added to w, and w1 is output even when (z, h) is rejected. It tolerates fewer than n/2 corruptions, is proven in the universal composability (UC) framework, and costs about 150 KB per party per attempt (0.31–0.59 MB per signature, 16 or 29 rounds), benchmarked up to 63 parties. Always releasing w1 lets the Fiat–Shamir hash be computed in the clear; the proof that rejected partial signatures can be simulated relies on the noise e_w.</w:t>
      </w:r>
    </w:p>
    <w:p>
      <w:pPr>
        <w:jc w:val="both"/>
      </w:pPr>
      <w:r>
        <w:rPr>
          <w:rFonts w:ascii="Times New Roman" w:hAnsi="Times New Roman"/>
          <w:b/>
          <w:i w:val="0"/>
          <w:sz w:val="20"/>
        </w:rPr>
        <w:t>SplitForge / Trilithium</w:t>
      </w:r>
      <w:r>
        <w:rPr>
          <w:rFonts w:ascii="Times New Roman" w:hAnsi="Times New Roman"/>
          <w:b w:val="0"/>
          <w:i w:val="0"/>
          <w:sz w:val="20"/>
        </w:rPr>
        <w:t xml:space="preserve"> [9] (Cybernetica) targets a server and a phone plus a correlated randomness provider (CRP). It is UC-secure against one malicious party among the three, takes 14 rounds per signing attempt, and publishes the high bits w_H even for rejected attempts, justified by an MLWR-type assumption that the paper itself calls non-standard for ML-DSA parameters. It uses an actively secure comparison protocol and a new rounding protocol, has a Rust implementation, is given both for unmodified ML-DSA and for a Quorus-style variant with CRP-supplied noise e_w, and is part of Cybernetica's SplitKey submission. The writeup concedes that a malicious CRP can mount selective-disclosure attacks that the authors consider harmless for the intended use.</w:t>
      </w:r>
    </w:p>
    <w:p>
      <w:pPr>
        <w:jc w:val="both"/>
      </w:pPr>
      <w:r>
        <w:rPr>
          <w:rFonts w:ascii="Times New Roman" w:hAnsi="Times New Roman"/>
          <w:b/>
          <w:i w:val="0"/>
          <w:sz w:val="20"/>
        </w:rPr>
        <w:t>TALUS</w:t>
      </w:r>
      <w:r>
        <w:rPr>
          <w:rFonts w:ascii="Times New Roman" w:hAnsi="Times New Roman"/>
          <w:b w:val="0"/>
          <w:i w:val="0"/>
          <w:sz w:val="20"/>
        </w:rPr>
        <w:t xml:space="preserve"> [10,11] (Codebat) introduces the Boundary Clearance Condition (BCC): for a constant fraction of nonces (43.2%, 31.7% and 39.1% at ML-DSA-44/65/87) s2 provably cannot push w across a rounding boundary, so rejection can be done offline on preprocessed nonces, giving a two-round distributed MPC profile. The paper states that its cap-based shield for the s2 channel is model-supported rather than proven, and proves that any FIPS-exact scheme revealing a summed (Irwin–Hall) nonce admits key recovery after about 2^30 signatures. A TEE-assisted one-round variant appears in v0.22 only as a contrasting example. TALUS builds on Kao's Shamir nonce DKG [12], where the signing nonce is itself Shamir-shared with pairwise-cancelling PRF masks and claimed nonce-share min-entropy above 5× the key entropy for signing sets up to 17.</w:t>
      </w:r>
    </w:p>
    <w:p>
      <w:pPr>
        <w:keepNext/>
        <w:spacing w:after="40"/>
        <w:jc w:val="center"/>
      </w:pPr>
      <w:r>
        <w:rPr>
          <w:rFonts w:ascii="Times New Roman" w:hAnsi="Times New Roman"/>
          <w:b w:val="0"/>
          <w:i w:val="0"/>
          <w:sz w:val="16"/>
        </w:rPr>
        <w:t xml:space="preserve">TABLE II. </w:t>
      </w:r>
      <w:r>
        <w:rPr>
          <w:rFonts w:ascii="Times New Roman" w:hAnsi="Times New Roman"/>
          <w:b w:val="0"/>
          <w:i w:val="0"/>
          <w:sz w:val="16"/>
        </w:rPr>
        <w:t>The four ML-DSA-compatible First-Call proposals</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720"/>
            <w:shd w:val="clear" w:color="auto" w:fill="D9D9D9"/>
          </w:tcPr>
          <w:p>
            <w:pPr>
              <w:spacing w:after="0"/>
            </w:pPr>
            <w:r/>
            <w:r>
              <w:rPr>
                <w:rFonts w:ascii="Times New Roman" w:hAnsi="Times New Roman"/>
                <w:b/>
                <w:i w:val="0"/>
                <w:sz w:val="16"/>
              </w:rPr>
              <w:t>Scheme</w:t>
            </w:r>
          </w:p>
        </w:tc>
        <w:tc>
          <w:tcPr>
            <w:tcW w:type="dxa" w:w="1368"/>
            <w:shd w:val="clear" w:color="auto" w:fill="D9D9D9"/>
          </w:tcPr>
          <w:p>
            <w:pPr>
              <w:spacing w:after="0"/>
            </w:pPr>
            <w:r/>
            <w:r>
              <w:rPr>
                <w:rFonts w:ascii="Times New Roman" w:hAnsi="Times New Roman"/>
                <w:b/>
                <w:i w:val="0"/>
                <w:sz w:val="16"/>
              </w:rPr>
              <w:t>Design</w:t>
            </w:r>
          </w:p>
        </w:tc>
        <w:tc>
          <w:tcPr>
            <w:tcW w:type="dxa" w:w="1224"/>
            <w:shd w:val="clear" w:color="auto" w:fill="D9D9D9"/>
          </w:tcPr>
          <w:p>
            <w:pPr>
              <w:spacing w:after="0"/>
            </w:pPr>
            <w:r/>
            <w:r>
              <w:rPr>
                <w:rFonts w:ascii="Times New Roman" w:hAnsi="Times New Roman"/>
                <w:b/>
                <w:i w:val="0"/>
                <w:sz w:val="16"/>
              </w:rPr>
              <w:t>Trust / corruption</w:t>
            </w:r>
          </w:p>
        </w:tc>
        <w:tc>
          <w:tcPr>
            <w:tcW w:type="dxa" w:w="648"/>
            <w:shd w:val="clear" w:color="auto" w:fill="D9D9D9"/>
          </w:tcPr>
          <w:p>
            <w:pPr>
              <w:spacing w:after="0"/>
            </w:pPr>
            <w:r/>
            <w:r>
              <w:rPr>
                <w:rFonts w:ascii="Times New Roman" w:hAnsi="Times New Roman"/>
                <w:b/>
                <w:i w:val="0"/>
                <w:sz w:val="16"/>
              </w:rPr>
              <w:t>Rounds</w:t>
            </w:r>
          </w:p>
        </w:tc>
        <w:tc>
          <w:tcPr>
            <w:tcW w:type="dxa" w:w="936"/>
            <w:shd w:val="clear" w:color="auto" w:fill="D9D9D9"/>
          </w:tcPr>
          <w:p>
            <w:pPr>
              <w:spacing w:after="0"/>
            </w:pPr>
            <w:r/>
            <w:r>
              <w:rPr>
                <w:rFonts w:ascii="Times New Roman" w:hAnsi="Times New Roman"/>
                <w:b/>
                <w:i w:val="0"/>
                <w:sz w:val="16"/>
              </w:rPr>
              <w:t>Public attacks</w:t>
            </w:r>
          </w:p>
        </w:tc>
      </w:tr>
      <w:tr>
        <w:tc>
          <w:tcPr>
            <w:tcW w:type="dxa" w:w="720"/>
          </w:tcPr>
          <w:p>
            <w:pPr>
              <w:spacing w:after="0"/>
            </w:pPr>
            <w:r/>
            <w:r>
              <w:rPr>
                <w:rFonts w:ascii="Times New Roman" w:hAnsi="Times New Roman"/>
                <w:b w:val="0"/>
                <w:i w:val="0"/>
                <w:sz w:val="16"/>
              </w:rPr>
              <w:t>Mithril [4]</w:t>
            </w:r>
          </w:p>
        </w:tc>
        <w:tc>
          <w:tcPr>
            <w:tcW w:type="dxa" w:w="1368"/>
          </w:tcPr>
          <w:p>
            <w:pPr>
              <w:spacing w:after="0"/>
            </w:pPr>
            <w:r/>
            <w:r>
              <w:rPr>
                <w:rFonts w:ascii="Times New Roman" w:hAnsi="Times New Roman"/>
                <w:b w:val="0"/>
                <w:i w:val="0"/>
                <w:sz w:val="16"/>
              </w:rPr>
              <w:t>Replicated short shares, local rejection</w:t>
            </w:r>
          </w:p>
        </w:tc>
        <w:tc>
          <w:tcPr>
            <w:tcW w:type="dxa" w:w="1224"/>
          </w:tcPr>
          <w:p>
            <w:pPr>
              <w:spacing w:after="0"/>
            </w:pPr>
            <w:r/>
            <w:r>
              <w:rPr>
                <w:rFonts w:ascii="Times New Roman" w:hAnsi="Times New Roman"/>
                <w:b w:val="0"/>
                <w:i w:val="0"/>
                <w:sz w:val="16"/>
              </w:rPr>
              <w:t>Dishonest majority (T−1), static; N ≤ 6</w:t>
            </w:r>
          </w:p>
        </w:tc>
        <w:tc>
          <w:tcPr>
            <w:tcW w:type="dxa" w:w="648"/>
          </w:tcPr>
          <w:p>
            <w:pPr>
              <w:spacing w:after="0"/>
            </w:pPr>
            <w:r/>
            <w:r>
              <w:rPr>
                <w:rFonts w:ascii="Times New Roman" w:hAnsi="Times New Roman"/>
                <w:b w:val="0"/>
                <w:i w:val="0"/>
                <w:sz w:val="16"/>
              </w:rPr>
              <w:t>~3 per attempt</w:t>
            </w:r>
          </w:p>
        </w:tc>
        <w:tc>
          <w:tcPr>
            <w:tcW w:type="dxa" w:w="936"/>
          </w:tcPr>
          <w:p>
            <w:pPr>
              <w:spacing w:after="0"/>
            </w:pPr>
            <w:r/>
            <w:r>
              <w:rPr>
                <w:rFonts w:ascii="Times New Roman" w:hAnsi="Times New Roman"/>
                <w:b w:val="0"/>
                <w:i w:val="0"/>
                <w:sz w:val="16"/>
              </w:rPr>
              <w:t>None found</w:t>
            </w:r>
          </w:p>
        </w:tc>
      </w:tr>
      <w:tr>
        <w:tc>
          <w:tcPr>
            <w:tcW w:type="dxa" w:w="720"/>
          </w:tcPr>
          <w:p>
            <w:pPr>
              <w:spacing w:after="0"/>
            </w:pPr>
            <w:r/>
            <w:r>
              <w:rPr>
                <w:rFonts w:ascii="Times New Roman" w:hAnsi="Times New Roman"/>
                <w:b w:val="0"/>
                <w:i w:val="0"/>
                <w:sz w:val="16"/>
              </w:rPr>
              <w:t>Quorus [8]</w:t>
            </w:r>
          </w:p>
        </w:tc>
        <w:tc>
          <w:tcPr>
            <w:tcW w:type="dxa" w:w="1368"/>
          </w:tcPr>
          <w:p>
            <w:pPr>
              <w:spacing w:after="0"/>
            </w:pPr>
            <w:r/>
            <w:r>
              <w:rPr>
                <w:rFonts w:ascii="Times New Roman" w:hAnsi="Times New Roman"/>
                <w:b w:val="0"/>
                <w:i w:val="0"/>
                <w:sz w:val="16"/>
              </w:rPr>
              <w:t>MPC-friendly ML-DSA variant</w:t>
            </w:r>
          </w:p>
        </w:tc>
        <w:tc>
          <w:tcPr>
            <w:tcW w:type="dxa" w:w="1224"/>
          </w:tcPr>
          <w:p>
            <w:pPr>
              <w:spacing w:after="0"/>
            </w:pPr>
            <w:r/>
            <w:r>
              <w:rPr>
                <w:rFonts w:ascii="Times New Roman" w:hAnsi="Times New Roman"/>
                <w:b w:val="0"/>
                <w:i w:val="0"/>
                <w:sz w:val="16"/>
              </w:rPr>
              <w:t>Honest majority, UC, n ≤ 64</w:t>
            </w:r>
          </w:p>
        </w:tc>
        <w:tc>
          <w:tcPr>
            <w:tcW w:type="dxa" w:w="648"/>
          </w:tcPr>
          <w:p>
            <w:pPr>
              <w:spacing w:after="0"/>
            </w:pPr>
            <w:r/>
            <w:r>
              <w:rPr>
                <w:rFonts w:ascii="Times New Roman" w:hAnsi="Times New Roman"/>
                <w:b w:val="0"/>
                <w:i w:val="0"/>
                <w:sz w:val="16"/>
              </w:rPr>
              <w:t>16–29</w:t>
            </w:r>
          </w:p>
        </w:tc>
        <w:tc>
          <w:tcPr>
            <w:tcW w:type="dxa" w:w="936"/>
          </w:tcPr>
          <w:p>
            <w:pPr>
              <w:spacing w:after="0"/>
            </w:pPr>
            <w:r/>
            <w:r>
              <w:rPr>
                <w:rFonts w:ascii="Times New Roman" w:hAnsi="Times New Roman"/>
                <w:b w:val="0"/>
                <w:i w:val="0"/>
                <w:sz w:val="16"/>
              </w:rPr>
              <w:t>None found</w:t>
            </w:r>
          </w:p>
        </w:tc>
      </w:tr>
      <w:tr>
        <w:tc>
          <w:tcPr>
            <w:tcW w:type="dxa" w:w="720"/>
          </w:tcPr>
          <w:p>
            <w:pPr>
              <w:spacing w:after="0"/>
            </w:pPr>
            <w:r/>
            <w:r>
              <w:rPr>
                <w:rFonts w:ascii="Times New Roman" w:hAnsi="Times New Roman"/>
                <w:b w:val="0"/>
                <w:i w:val="0"/>
                <w:sz w:val="16"/>
              </w:rPr>
              <w:t>Trilithium [9]</w:t>
            </w:r>
          </w:p>
        </w:tc>
        <w:tc>
          <w:tcPr>
            <w:tcW w:type="dxa" w:w="1368"/>
          </w:tcPr>
          <w:p>
            <w:pPr>
              <w:spacing w:after="0"/>
            </w:pPr>
            <w:r/>
            <w:r>
              <w:rPr>
                <w:rFonts w:ascii="Times New Roman" w:hAnsi="Times New Roman"/>
                <w:b w:val="0"/>
                <w:i w:val="0"/>
                <w:sz w:val="16"/>
              </w:rPr>
              <w:t>2-party MPC + CRP</w:t>
            </w:r>
          </w:p>
        </w:tc>
        <w:tc>
          <w:tcPr>
            <w:tcW w:type="dxa" w:w="1224"/>
          </w:tcPr>
          <w:p>
            <w:pPr>
              <w:spacing w:after="0"/>
            </w:pPr>
            <w:r/>
            <w:r>
              <w:rPr>
                <w:rFonts w:ascii="Times New Roman" w:hAnsi="Times New Roman"/>
                <w:b w:val="0"/>
                <w:i w:val="0"/>
                <w:sz w:val="16"/>
              </w:rPr>
              <w:t>CRP honest; one party malicious</w:t>
            </w:r>
          </w:p>
        </w:tc>
        <w:tc>
          <w:tcPr>
            <w:tcW w:type="dxa" w:w="648"/>
          </w:tcPr>
          <w:p>
            <w:pPr>
              <w:spacing w:after="0"/>
            </w:pPr>
            <w:r/>
            <w:r>
              <w:rPr>
                <w:rFonts w:ascii="Times New Roman" w:hAnsi="Times New Roman"/>
                <w:b w:val="0"/>
                <w:i w:val="0"/>
                <w:sz w:val="16"/>
              </w:rPr>
              <w:t>14 per attempt</w:t>
            </w:r>
          </w:p>
        </w:tc>
        <w:tc>
          <w:tcPr>
            <w:tcW w:type="dxa" w:w="936"/>
          </w:tcPr>
          <w:p>
            <w:pPr>
              <w:spacing w:after="0"/>
            </w:pPr>
            <w:r/>
            <w:r>
              <w:rPr>
                <w:rFonts w:ascii="Times New Roman" w:hAnsi="Times New Roman"/>
                <w:b w:val="0"/>
                <w:i w:val="0"/>
                <w:sz w:val="16"/>
              </w:rPr>
              <w:t>None; MLWR-type assumption</w:t>
            </w:r>
          </w:p>
        </w:tc>
      </w:tr>
      <w:tr>
        <w:tc>
          <w:tcPr>
            <w:tcW w:type="dxa" w:w="720"/>
          </w:tcPr>
          <w:p>
            <w:pPr>
              <w:spacing w:after="0"/>
            </w:pPr>
            <w:r/>
            <w:r>
              <w:rPr>
                <w:rFonts w:ascii="Times New Roman" w:hAnsi="Times New Roman"/>
                <w:b w:val="0"/>
                <w:i w:val="0"/>
                <w:sz w:val="16"/>
              </w:rPr>
              <w:t>TALUS [10,11]</w:t>
            </w:r>
          </w:p>
        </w:tc>
        <w:tc>
          <w:tcPr>
            <w:tcW w:type="dxa" w:w="1368"/>
          </w:tcPr>
          <w:p>
            <w:pPr>
              <w:spacing w:after="0"/>
            </w:pPr>
            <w:r/>
            <w:r>
              <w:rPr>
                <w:rFonts w:ascii="Times New Roman" w:hAnsi="Times New Roman"/>
                <w:b w:val="0"/>
                <w:i w:val="0"/>
                <w:sz w:val="16"/>
              </w:rPr>
              <w:t>BCC nonce filtering, Shamir nonce DKG</w:t>
            </w:r>
          </w:p>
        </w:tc>
        <w:tc>
          <w:tcPr>
            <w:tcW w:type="dxa" w:w="1224"/>
          </w:tcPr>
          <w:p>
            <w:pPr>
              <w:spacing w:after="0"/>
            </w:pPr>
            <w:r/>
            <w:r>
              <w:rPr>
                <w:rFonts w:ascii="Times New Roman" w:hAnsi="Times New Roman"/>
                <w:b w:val="0"/>
                <w:i w:val="0"/>
                <w:sz w:val="16"/>
              </w:rPr>
              <w:t>Honest majority N ≥ 2T−1</w:t>
            </w:r>
          </w:p>
        </w:tc>
        <w:tc>
          <w:tcPr>
            <w:tcW w:type="dxa" w:w="648"/>
          </w:tcPr>
          <w:p>
            <w:pPr>
              <w:spacing w:after="0"/>
            </w:pPr>
            <w:r/>
            <w:r>
              <w:rPr>
                <w:rFonts w:ascii="Times New Roman" w:hAnsi="Times New Roman"/>
                <w:b w:val="0"/>
                <w:i w:val="0"/>
                <w:sz w:val="16"/>
              </w:rPr>
              <w:t>2 (v0.22)</w:t>
            </w:r>
          </w:p>
        </w:tc>
        <w:tc>
          <w:tcPr>
            <w:tcW w:type="dxa" w:w="936"/>
          </w:tcPr>
          <w:p>
            <w:pPr>
              <w:spacing w:after="0"/>
            </w:pPr>
            <w:r/>
            <w:r>
              <w:rPr>
                <w:rFonts w:ascii="Times New Roman" w:hAnsi="Times New Roman"/>
                <w:b w:val="0"/>
                <w:i w:val="0"/>
                <w:sz w:val="16"/>
              </w:rPr>
              <w:t>Earlier versions broken [13]</w:t>
            </w:r>
          </w:p>
        </w:tc>
      </w:tr>
    </w:tbl>
    <w:p>
      <w:pPr>
        <w:spacing w:after="40"/>
      </w:pPr>
    </w:p>
    <w:p>
      <w:pPr>
        <w:keepNext/>
        <w:spacing w:before="100" w:after="40"/>
      </w:pPr>
      <w:r>
        <w:rPr>
          <w:rFonts w:ascii="Times New Roman" w:hAnsi="Times New Roman"/>
          <w:b w:val="0"/>
          <w:i/>
          <w:sz w:val="20"/>
        </w:rPr>
        <w:t>C. Published attacks on TALUS</w:t>
      </w:r>
    </w:p>
    <w:p>
      <w:pPr>
        <w:jc w:val="both"/>
      </w:pPr>
      <w:r>
        <w:rPr>
          <w:rFonts w:ascii="Times New Roman" w:hAnsi="Times New Roman"/>
          <w:b w:val="0"/>
          <w:i w:val="0"/>
          <w:sz w:val="20"/>
        </w:rPr>
        <w:t xml:space="preserve">Niot [13] (ePrint 2026/1386) gives two practical attacks on earlier TALUS versions. </w:t>
      </w:r>
      <w:r>
        <w:rPr>
          <w:rFonts w:ascii="Times New Roman" w:hAnsi="Times New Roman"/>
          <w:b/>
          <w:i w:val="0"/>
          <w:sz w:val="20"/>
        </w:rPr>
        <w:t>Attack 1</w:t>
      </w:r>
      <w:r>
        <w:rPr>
          <w:rFonts w:ascii="Times New Roman" w:hAnsi="Times New Roman"/>
          <w:b w:val="0"/>
          <w:i w:val="0"/>
          <w:sz w:val="20"/>
        </w:rPr>
        <w:t xml:space="preserve"> exploits non-hiding commitments: TALUS-MPC broadcast A·s1,i at key generation and A·ŷ in the blame phase. A is left-invertible except with probability at most 2^-15 (ML-DSA-44) or 2^-38 (-65/-87), so x = A⁺(A·x) reveals every key share and the nonce, and s1 = c⁻¹(z − y) follows from one signature. </w:t>
      </w:r>
      <w:r>
        <w:rPr>
          <w:rFonts w:ascii="Times New Roman" w:hAnsi="Times New Roman"/>
          <w:b/>
          <w:i w:val="0"/>
          <w:sz w:val="20"/>
        </w:rPr>
        <w:t>Attack 2</w:t>
      </w:r>
      <w:r>
        <w:rPr>
          <w:rFonts w:ascii="Times New Roman" w:hAnsi="Times New Roman"/>
          <w:b w:val="0"/>
          <w:i w:val="0"/>
          <w:sz w:val="20"/>
        </w:rPr>
        <w:t xml:space="preserve"> targets the removed s2 check. Intuitively, every signature reveals a very noisy linear equation in the secret, and enough of them average the noise away. Precisely, with HighBits(w) known from the hint, the observable is b = −c·s′ + e with e = LowBits(w) roughly uniform on [−γ2, γ2]. This is integer LWE (ILWE, LWE without reduction mod q), which least squares solves [17]: the per-coefficient error is about σ_e/√(Nτ) with σ_e² ≈ γ2²/3, and rounding succeeds once this is below 1/2, so</w:t>
      </w:r>
    </w:p>
    <w:p>
      <w:pPr>
        <w:jc w:val="center"/>
      </w:pPr>
      <w:r>
        <w:rPr>
          <w:rFonts w:ascii="Times New Roman" w:hAnsi="Times New Roman"/>
          <w:b w:val="0"/>
          <w:i w:val="0"/>
          <w:sz w:val="20"/>
        </w:rPr>
        <w:t>N ≈ 4γ2²/(3τ)  signatures,                                                  (1)</w:t>
      </w:r>
    </w:p>
    <w:p>
      <w:pPr>
        <w:jc w:val="both"/>
      </w:pPr>
      <w:r>
        <w:rPr>
          <w:rFonts w:ascii="Times New Roman" w:hAnsi="Times New Roman"/>
          <w:b w:val="0"/>
          <w:i w:val="0"/>
          <w:sz w:val="20"/>
        </w:rPr>
        <w:t>about 2^28–2^31 (Table III). Niot stresses that (1) is unoptimised, and that reinstating the check is not enough because a corrupted party can bias its nonce share (e.g. y_i = 0) so the check always passes.</w:t>
      </w:r>
    </w:p>
    <w:p>
      <w:pPr>
        <w:keepNext/>
        <w:spacing w:after="40"/>
        <w:jc w:val="center"/>
      </w:pPr>
      <w:r>
        <w:rPr>
          <w:rFonts w:ascii="Times New Roman" w:hAnsi="Times New Roman"/>
          <w:b w:val="0"/>
          <w:i w:val="0"/>
          <w:sz w:val="16"/>
        </w:rPr>
        <w:t xml:space="preserve">TABLE III. </w:t>
      </w:r>
      <w:r>
        <w:rPr>
          <w:rFonts w:ascii="Times New Roman" w:hAnsi="Times New Roman"/>
          <w:b w:val="0"/>
          <w:i w:val="0"/>
          <w:sz w:val="16"/>
        </w:rPr>
        <w:t>Least-squares sample estimate (1) per parameter set</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252"/>
            <w:shd w:val="clear" w:color="auto" w:fill="D9D9D9"/>
          </w:tcPr>
          <w:p>
            <w:pPr>
              <w:spacing w:after="0"/>
            </w:pPr>
            <w:r/>
            <w:r>
              <w:rPr>
                <w:rFonts w:ascii="Times New Roman" w:hAnsi="Times New Roman"/>
                <w:b/>
                <w:i w:val="0"/>
                <w:sz w:val="16"/>
              </w:rPr>
              <w:t>Set</w:t>
            </w:r>
          </w:p>
        </w:tc>
        <w:tc>
          <w:tcPr>
            <w:tcW w:type="dxa" w:w="1025"/>
            <w:shd w:val="clear" w:color="auto" w:fill="D9D9D9"/>
          </w:tcPr>
          <w:p>
            <w:pPr>
              <w:spacing w:after="0"/>
            </w:pPr>
            <w:r/>
            <w:r>
              <w:rPr>
                <w:rFonts w:ascii="Times New Roman" w:hAnsi="Times New Roman"/>
                <w:b/>
                <w:i w:val="0"/>
                <w:sz w:val="16"/>
              </w:rPr>
              <w:t>γ2</w:t>
            </w:r>
          </w:p>
        </w:tc>
        <w:tc>
          <w:tcPr>
            <w:tcW w:type="dxa" w:w="569"/>
            <w:shd w:val="clear" w:color="auto" w:fill="D9D9D9"/>
          </w:tcPr>
          <w:p>
            <w:pPr>
              <w:spacing w:after="0"/>
            </w:pPr>
            <w:r/>
            <w:r>
              <w:rPr>
                <w:rFonts w:ascii="Times New Roman" w:hAnsi="Times New Roman"/>
                <w:b/>
                <w:i w:val="0"/>
                <w:sz w:val="16"/>
              </w:rPr>
              <w:t>τ</w:t>
            </w:r>
          </w:p>
        </w:tc>
        <w:tc>
          <w:tcPr>
            <w:tcW w:type="dxa" w:w="1366"/>
            <w:shd w:val="clear" w:color="auto" w:fill="D9D9D9"/>
          </w:tcPr>
          <w:p>
            <w:pPr>
              <w:spacing w:after="0"/>
            </w:pPr>
            <w:r/>
            <w:r>
              <w:rPr>
                <w:rFonts w:ascii="Times New Roman" w:hAnsi="Times New Roman"/>
                <w:b/>
                <w:i w:val="0"/>
                <w:sz w:val="16"/>
              </w:rPr>
              <w:t>4γ2²/(3τ)</w:t>
            </w:r>
          </w:p>
        </w:tc>
        <w:tc>
          <w:tcPr>
            <w:tcW w:type="dxa" w:w="683"/>
            <w:shd w:val="clear" w:color="auto" w:fill="D9D9D9"/>
          </w:tcPr>
          <w:p>
            <w:pPr>
              <w:spacing w:after="0"/>
            </w:pPr>
            <w:r/>
            <w:r>
              <w:rPr>
                <w:rFonts w:ascii="Times New Roman" w:hAnsi="Times New Roman"/>
                <w:b/>
                <w:i w:val="0"/>
                <w:sz w:val="16"/>
              </w:rPr>
              <w:t>log2</w:t>
            </w:r>
          </w:p>
        </w:tc>
      </w:tr>
      <w:tr>
        <w:tc>
          <w:tcPr>
            <w:tcW w:type="dxa" w:w="1252"/>
          </w:tcPr>
          <w:p>
            <w:pPr>
              <w:spacing w:after="0"/>
            </w:pPr>
            <w:r/>
            <w:r>
              <w:rPr>
                <w:rFonts w:ascii="Times New Roman" w:hAnsi="Times New Roman"/>
                <w:b w:val="0"/>
                <w:i w:val="0"/>
                <w:sz w:val="16"/>
              </w:rPr>
              <w:t>ML-DSA-44</w:t>
            </w:r>
          </w:p>
        </w:tc>
        <w:tc>
          <w:tcPr>
            <w:tcW w:type="dxa" w:w="1025"/>
          </w:tcPr>
          <w:p>
            <w:pPr>
              <w:spacing w:after="0"/>
            </w:pPr>
            <w:r/>
            <w:r>
              <w:rPr>
                <w:rFonts w:ascii="Times New Roman" w:hAnsi="Times New Roman"/>
                <w:b w:val="0"/>
                <w:i w:val="0"/>
                <w:sz w:val="16"/>
              </w:rPr>
              <w:t>95,232</w:t>
            </w:r>
          </w:p>
        </w:tc>
        <w:tc>
          <w:tcPr>
            <w:tcW w:type="dxa" w:w="569"/>
          </w:tcPr>
          <w:p>
            <w:pPr>
              <w:spacing w:after="0"/>
            </w:pPr>
            <w:r/>
            <w:r>
              <w:rPr>
                <w:rFonts w:ascii="Times New Roman" w:hAnsi="Times New Roman"/>
                <w:b w:val="0"/>
                <w:i w:val="0"/>
                <w:sz w:val="16"/>
              </w:rPr>
              <w:t>39</w:t>
            </w:r>
          </w:p>
        </w:tc>
        <w:tc>
          <w:tcPr>
            <w:tcW w:type="dxa" w:w="1366"/>
          </w:tcPr>
          <w:p>
            <w:pPr>
              <w:spacing w:after="0"/>
            </w:pPr>
            <w:r/>
            <w:r>
              <w:rPr>
                <w:rFonts w:ascii="Times New Roman" w:hAnsi="Times New Roman"/>
                <w:b w:val="0"/>
                <w:i w:val="0"/>
                <w:sz w:val="16"/>
              </w:rPr>
              <w:t>3.1 x 10^8</w:t>
            </w:r>
          </w:p>
        </w:tc>
        <w:tc>
          <w:tcPr>
            <w:tcW w:type="dxa" w:w="683"/>
          </w:tcPr>
          <w:p>
            <w:pPr>
              <w:spacing w:after="0"/>
            </w:pPr>
            <w:r/>
            <w:r>
              <w:rPr>
                <w:rFonts w:ascii="Times New Roman" w:hAnsi="Times New Roman"/>
                <w:b w:val="0"/>
                <w:i w:val="0"/>
                <w:sz w:val="16"/>
              </w:rPr>
              <w:t>28.2</w:t>
            </w:r>
          </w:p>
        </w:tc>
      </w:tr>
      <w:tr>
        <w:tc>
          <w:tcPr>
            <w:tcW w:type="dxa" w:w="1252"/>
          </w:tcPr>
          <w:p>
            <w:pPr>
              <w:spacing w:after="0"/>
            </w:pPr>
            <w:r/>
            <w:r>
              <w:rPr>
                <w:rFonts w:ascii="Times New Roman" w:hAnsi="Times New Roman"/>
                <w:b w:val="0"/>
                <w:i w:val="0"/>
                <w:sz w:val="16"/>
              </w:rPr>
              <w:t>ML-DSA-65</w:t>
            </w:r>
          </w:p>
        </w:tc>
        <w:tc>
          <w:tcPr>
            <w:tcW w:type="dxa" w:w="1025"/>
          </w:tcPr>
          <w:p>
            <w:pPr>
              <w:spacing w:after="0"/>
            </w:pPr>
            <w:r/>
            <w:r>
              <w:rPr>
                <w:rFonts w:ascii="Times New Roman" w:hAnsi="Times New Roman"/>
                <w:b w:val="0"/>
                <w:i w:val="0"/>
                <w:sz w:val="16"/>
              </w:rPr>
              <w:t>261,888</w:t>
            </w:r>
          </w:p>
        </w:tc>
        <w:tc>
          <w:tcPr>
            <w:tcW w:type="dxa" w:w="569"/>
          </w:tcPr>
          <w:p>
            <w:pPr>
              <w:spacing w:after="0"/>
            </w:pPr>
            <w:r/>
            <w:r>
              <w:rPr>
                <w:rFonts w:ascii="Times New Roman" w:hAnsi="Times New Roman"/>
                <w:b w:val="0"/>
                <w:i w:val="0"/>
                <w:sz w:val="16"/>
              </w:rPr>
              <w:t>49</w:t>
            </w:r>
          </w:p>
        </w:tc>
        <w:tc>
          <w:tcPr>
            <w:tcW w:type="dxa" w:w="1366"/>
          </w:tcPr>
          <w:p>
            <w:pPr>
              <w:spacing w:after="0"/>
            </w:pPr>
            <w:r/>
            <w:r>
              <w:rPr>
                <w:rFonts w:ascii="Times New Roman" w:hAnsi="Times New Roman"/>
                <w:b w:val="0"/>
                <w:i w:val="0"/>
                <w:sz w:val="16"/>
              </w:rPr>
              <w:t>1.9 x 10^9</w:t>
            </w:r>
          </w:p>
        </w:tc>
        <w:tc>
          <w:tcPr>
            <w:tcW w:type="dxa" w:w="683"/>
          </w:tcPr>
          <w:p>
            <w:pPr>
              <w:spacing w:after="0"/>
            </w:pPr>
            <w:r/>
            <w:r>
              <w:rPr>
                <w:rFonts w:ascii="Times New Roman" w:hAnsi="Times New Roman"/>
                <w:b w:val="0"/>
                <w:i w:val="0"/>
                <w:sz w:val="16"/>
              </w:rPr>
              <w:t>30.8</w:t>
            </w:r>
          </w:p>
        </w:tc>
      </w:tr>
      <w:tr>
        <w:tc>
          <w:tcPr>
            <w:tcW w:type="dxa" w:w="1252"/>
          </w:tcPr>
          <w:p>
            <w:pPr>
              <w:spacing w:after="0"/>
            </w:pPr>
            <w:r/>
            <w:r>
              <w:rPr>
                <w:rFonts w:ascii="Times New Roman" w:hAnsi="Times New Roman"/>
                <w:b w:val="0"/>
                <w:i w:val="0"/>
                <w:sz w:val="16"/>
              </w:rPr>
              <w:t>ML-DSA-87</w:t>
            </w:r>
          </w:p>
        </w:tc>
        <w:tc>
          <w:tcPr>
            <w:tcW w:type="dxa" w:w="1025"/>
          </w:tcPr>
          <w:p>
            <w:pPr>
              <w:spacing w:after="0"/>
            </w:pPr>
            <w:r/>
            <w:r>
              <w:rPr>
                <w:rFonts w:ascii="Times New Roman" w:hAnsi="Times New Roman"/>
                <w:b w:val="0"/>
                <w:i w:val="0"/>
                <w:sz w:val="16"/>
              </w:rPr>
              <w:t>261,888</w:t>
            </w:r>
          </w:p>
        </w:tc>
        <w:tc>
          <w:tcPr>
            <w:tcW w:type="dxa" w:w="569"/>
          </w:tcPr>
          <w:p>
            <w:pPr>
              <w:spacing w:after="0"/>
            </w:pPr>
            <w:r/>
            <w:r>
              <w:rPr>
                <w:rFonts w:ascii="Times New Roman" w:hAnsi="Times New Roman"/>
                <w:b w:val="0"/>
                <w:i w:val="0"/>
                <w:sz w:val="16"/>
              </w:rPr>
              <w:t>60</w:t>
            </w:r>
          </w:p>
        </w:tc>
        <w:tc>
          <w:tcPr>
            <w:tcW w:type="dxa" w:w="1366"/>
          </w:tcPr>
          <w:p>
            <w:pPr>
              <w:spacing w:after="0"/>
            </w:pPr>
            <w:r/>
            <w:r>
              <w:rPr>
                <w:rFonts w:ascii="Times New Roman" w:hAnsi="Times New Roman"/>
                <w:b w:val="0"/>
                <w:i w:val="0"/>
                <w:sz w:val="16"/>
              </w:rPr>
              <w:t>1.5 x 10^9</w:t>
            </w:r>
          </w:p>
        </w:tc>
        <w:tc>
          <w:tcPr>
            <w:tcW w:type="dxa" w:w="683"/>
          </w:tcPr>
          <w:p>
            <w:pPr>
              <w:spacing w:after="0"/>
            </w:pPr>
            <w:r/>
            <w:r>
              <w:rPr>
                <w:rFonts w:ascii="Times New Roman" w:hAnsi="Times New Roman"/>
                <w:b w:val="0"/>
                <w:i w:val="0"/>
                <w:sz w:val="16"/>
              </w:rPr>
              <w:t>30.5</w:t>
            </w:r>
          </w:p>
        </w:tc>
      </w:tr>
    </w:tbl>
    <w:p>
      <w:pPr>
        <w:spacing w:after="40"/>
      </w:pPr>
    </w:p>
    <w:p>
      <w:pPr>
        <w:jc w:val="both"/>
      </w:pPr>
      <w:r>
        <w:rPr>
          <w:rFonts w:ascii="Times New Roman" w:hAnsi="Times New Roman"/>
          <w:b w:val="0"/>
          <w:i w:val="0"/>
          <w:sz w:val="20"/>
        </w:rPr>
        <w:t>The authors' response (v0.22 [11]) replaces commitments by zero-knowledge well-formedness proofs and handles the s2 channel with a mandatory per-key signing cap of about 2^13/2^14/2^14 (ML-DSA-44/65/87), enforced by key rotation, against a claimed integer-uniqueness wall near 2^15.2/2^16.4/2^16.2 below which the observations cannot determine s2 by themselves. Each preprocessed nonce is bound to one quorum and erased after use. The cap is the entire defence of the s2 channel, which makes it the natural core target; it also hurts deployability, because certificates and pinned keys cannot rotate every few thousand signatures.</w:t>
      </w:r>
    </w:p>
    <w:p>
      <w:pPr>
        <w:jc w:val="both"/>
      </w:pPr>
      <w:r>
        <w:rPr>
          <w:rFonts w:ascii="Times New Roman" w:hAnsi="Times New Roman"/>
          <w:b/>
          <w:i w:val="0"/>
          <w:sz w:val="20"/>
        </w:rPr>
        <w:t>Worked illustration of Attack 1.</w:t>
      </w:r>
      <w:r>
        <w:rPr>
          <w:rFonts w:ascii="Times New Roman" w:hAnsi="Times New Roman"/>
          <w:b w:val="0"/>
          <w:i w:val="0"/>
          <w:sz w:val="20"/>
        </w:rPr>
        <w:t xml:space="preserve"> Working in the NTT domain, A splits into 256 independent k×ℓ matrices over Z_q, one per slot. Each is left-invertible unless an event of probability about 1/q occurs, which is the origin of the 2^-15 and 2^-38 bounds, so any observer solves the system slot by slot and obtains s1,i exactly; shortness is irrelevant because no lattice problem arises. With k = ℓ = 1 the commitment is just a·s mod q, and dividing by a recovers s. The reasoning “discrete-log commitments hide, so lattice ones should” fails because g^x hides x only since discrete logarithms are hard, whereas A·x is a linear map and linear maps are easy to undo.</w:t>
      </w:r>
    </w:p>
    <w:p>
      <w:pPr>
        <w:jc w:val="both"/>
      </w:pPr>
      <w:r>
        <w:rPr>
          <w:rFonts w:ascii="Times New Roman" w:hAnsi="Times New Roman"/>
          <w:b/>
          <w:i w:val="0"/>
          <w:sz w:val="20"/>
        </w:rPr>
        <w:t>Worked illustration of Attack 2.</w:t>
      </w:r>
      <w:r>
        <w:rPr>
          <w:rFonts w:ascii="Times New Roman" w:hAnsi="Times New Roman"/>
          <w:b w:val="0"/>
          <w:i w:val="0"/>
          <w:sz w:val="20"/>
        </w:rPr>
        <w:t xml:space="preserve"> Consider one coefficient of s′. A single sample b = −c·s′ + e constrains a sum of τ secret coefficients to a window about 2γ2 wide, far wider than the secret's range, so it says almost nothing. Averaging over independent challenges shrinks the uncertainty like 1/√(Nτ), and once it falls below 1/2 each coefficient can be rounded. The factor γ2²/τ in (1) shows why ML-DSA-44, with the small γ2 = (q−1)/88, is the most exposed per signature. Two points matter for P1: (1) treats the noise as Gaussian, wasting the information in its sharp edges, and it recovers s′ one coefficient at a time, whereas ILP and lattice reduction use all constraints jointly.</w:t>
      </w:r>
    </w:p>
    <w:p>
      <w:pPr>
        <w:keepNext/>
        <w:spacing w:before="100" w:after="40"/>
      </w:pPr>
      <w:r>
        <w:rPr>
          <w:rFonts w:ascii="Times New Roman" w:hAnsi="Times New Roman"/>
          <w:b w:val="0"/>
          <w:i/>
          <w:sz w:val="20"/>
        </w:rPr>
        <w:t>D. Leakage-based cryptanalysis of lattice signatures</w:t>
      </w:r>
    </w:p>
    <w:p>
      <w:pPr>
        <w:jc w:val="both"/>
      </w:pPr>
      <w:r>
        <w:rPr>
          <w:rFonts w:ascii="Times New Roman" w:hAnsi="Times New Roman"/>
          <w:b w:val="0"/>
          <w:i w:val="0"/>
          <w:sz w:val="20"/>
        </w:rPr>
        <w:t>Bootle et al. [17] introduced the ILWE view of linear leakage in BLISS. Zhou et al. [18] show that the challenges of rejected Dilithium signatures bound c·s from both sides and recover keys by integer linear programming (ILP). Damm et al. [19] define Concealed ILWE, where only a fraction of samples leak, and break masked Dilithium with Huber and Cauchy regression. Yates et al. [20] find least-squares attacks on captured signatures insufficient at the parameters they studied. Hence any threshold design that releases values correlated with c·s1 or c·s2 must be tested with estimators stronger than least squares: bounded-noise estimators, ILP, robust regression and lattice reduction.</w:t>
      </w:r>
    </w:p>
    <w:p>
      <w:pPr>
        <w:jc w:val="both"/>
      </w:pPr>
      <w:r>
        <w:rPr>
          <w:rFonts w:ascii="Times New Roman" w:hAnsi="Times New Roman"/>
          <w:b/>
          <w:i w:val="0"/>
          <w:sz w:val="20"/>
        </w:rPr>
        <w:t>Why a summed nonce leaks.</w:t>
      </w:r>
      <w:r>
        <w:rPr>
          <w:rFonts w:ascii="Times New Roman" w:hAnsi="Times New Roman"/>
          <w:b w:val="0"/>
          <w:i w:val="0"/>
          <w:sz w:val="20"/>
        </w:rPr>
        <w:t xml:space="preserve"> If each of T parties adds a uniform nonce share, the aggregate follows a bell-shaped Irwin–Hall law, and z = y + c·s1 is that bell shifted by c·s1, so each signature carries a little Fisher information about s1. Kao [12] bounds the per-signature loss below 0.013 bits, but [10] proves an attack after about 2^30 signatures at ML-DSA-65; a design must make the revealed nonce exactly uniform (the claim of Quorus and Trilithium) or cap the number of signatures (TALUS).</w:t>
      </w:r>
    </w:p>
    <w:p>
      <w:pPr>
        <w:jc w:val="both"/>
      </w:pPr>
      <w:r>
        <w:rPr>
          <w:rFonts w:ascii="Times New Roman" w:hAnsi="Times New Roman"/>
          <w:b/>
          <w:i w:val="0"/>
          <w:sz w:val="20"/>
        </w:rPr>
        <w:t>Corruption models.</w:t>
      </w:r>
      <w:r>
        <w:rPr>
          <w:rFonts w:ascii="Times New Roman" w:hAnsi="Times New Roman"/>
          <w:b w:val="0"/>
          <w:i w:val="0"/>
          <w:sz w:val="20"/>
        </w:rPr>
        <w:t xml:space="preserve"> Static corruption fixes the corrupted set before the protocol starts; adaptive corruption chooses it during execution. Dishonest-majority security (Mithril) allows T−1 corrupted signers; honest-majority security (Quorus, TALUS-MPC) requires N ≥ 2T−1. Without identifiable aborts, as in Mithril, a corrupted party can abort after seeing honest contributions and retry, so aborted transcripts join the adversary's view. The harness therefore treats the corruption model as an input, not a constant.</w:t>
      </w:r>
    </w:p>
    <w:p>
      <w:pPr>
        <w:jc w:val="both"/>
      </w:pPr>
      <w:r>
        <w:rPr>
          <w:rFonts w:ascii="Times New Roman" w:hAnsi="Times New Roman"/>
          <w:b/>
          <w:i w:val="0"/>
          <w:sz w:val="20"/>
        </w:rPr>
        <w:t>Countermeasures.</w:t>
      </w:r>
      <w:r>
        <w:rPr>
          <w:rFonts w:ascii="Times New Roman" w:hAnsi="Times New Roman"/>
          <w:b w:val="0"/>
          <w:i w:val="0"/>
          <w:sz w:val="20"/>
        </w:rPr>
        <w:t xml:space="preserve"> Masking splits secrets into shares so that no intermediate value correlates with the key, but [19] shows masking alone fails when a fraction of samples leak with low noise. Against rejection leakage the defence is to hide which check failed and to release nothing derived from a rejected response, which is why Quorus's release of (w1, c, ⊥) needs its careful simulation argument. Costs differ: masking costs time, a signing cap costs key rotation, and hiding rejected transcripts costs interaction.</w:t>
      </w:r>
    </w:p>
    <w:p>
      <w:pPr>
        <w:keepNext/>
        <w:spacing w:before="100" w:after="40"/>
      </w:pPr>
      <w:r>
        <w:rPr>
          <w:rFonts w:ascii="Times New Roman" w:hAnsi="Times New Roman"/>
          <w:b w:val="0"/>
          <w:i/>
          <w:sz w:val="20"/>
        </w:rPr>
        <w:t>E. Related and superseded work</w:t>
      </w:r>
    </w:p>
    <w:p>
      <w:pPr>
        <w:jc w:val="both"/>
      </w:pPr>
      <w:r>
        <w:rPr>
          <w:rFonts w:ascii="Times New Roman" w:hAnsi="Times New Roman"/>
          <w:b w:val="0"/>
          <w:i w:val="0"/>
          <w:sz w:val="20"/>
        </w:rPr>
        <w:t>The Mithril line began as a poster [6] and a withdrawn preliminary ePrint [5]; all Mithril claims here come from [4] and [7]. Kao's design [12] is not a Call submission, but TALUS builds on it and it shows the same patterns. Its fully distributed profile P2 broadcasts masked commitments, and the paper's own remarks show that an exposed λ_h·A·y_h yields y_h and then the key; the masks hide these only when |S∖C| ≥ 2, that is, when at least two signers are honest. The paper concedes that at T = N with N−1 corruptions mask hiding fails in P2, yet its Table 1 still claims dishonest-majority unforgeability with UC proofs against static adversaries. Its Irwin–Hall analysis bounds the loss by 0.013 bits per signing query, stated as non-vacuous for q_s &lt; 16,000.</w:t>
      </w:r>
    </w:p>
    <w:p>
      <w:pPr>
        <w:keepNext/>
        <w:spacing w:before="100" w:after="40"/>
      </w:pPr>
      <w:r>
        <w:rPr>
          <w:rFonts w:ascii="Times New Roman" w:hAnsi="Times New Roman"/>
          <w:b w:val="0"/>
          <w:i/>
          <w:sz w:val="20"/>
        </w:rPr>
        <w:t>F. Gap analysis and comparison</w:t>
      </w:r>
    </w:p>
    <w:p>
      <w:pPr>
        <w:spacing w:after="40"/>
        <w:ind w:left="360" w:hanging="259"/>
        <w:jc w:val="both"/>
      </w:pPr>
      <w:r>
        <w:rPr>
          <w:rFonts w:ascii="Times New Roman" w:hAnsi="Times New Roman"/>
          <w:b w:val="0"/>
          <w:i w:val="0"/>
          <w:sz w:val="20"/>
        </w:rPr>
        <w:t xml:space="preserve">• </w:t>
      </w:r>
      <w:r>
        <w:rPr>
          <w:rFonts w:ascii="Times New Roman" w:hAnsi="Times New Roman"/>
          <w:b/>
          <w:i w:val="0"/>
          <w:sz w:val="20"/>
        </w:rPr>
        <w:t>No systematic public testing</w:t>
      </w:r>
      <w:r>
        <w:rPr>
          <w:rFonts w:ascii="Times New Roman" w:hAnsi="Times New Roman"/>
          <w:b w:val="0"/>
          <w:i w:val="0"/>
          <w:sz w:val="20"/>
        </w:rPr>
        <w:t xml:space="preserve"> of Mithril, Quorus or Trilithium transcripts, only design-level arguments.</w:t>
      </w:r>
    </w:p>
    <w:p>
      <w:pPr>
        <w:spacing w:after="40"/>
        <w:ind w:left="360" w:hanging="259"/>
        <w:jc w:val="both"/>
      </w:pPr>
      <w:r>
        <w:rPr>
          <w:rFonts w:ascii="Times New Roman" w:hAnsi="Times New Roman"/>
          <w:b w:val="0"/>
          <w:i w:val="0"/>
          <w:sz w:val="20"/>
        </w:rPr>
        <w:t xml:space="preserve">• </w:t>
      </w:r>
      <w:r>
        <w:rPr>
          <w:rFonts w:ascii="Times New Roman" w:hAnsi="Times New Roman"/>
          <w:b/>
          <w:i w:val="0"/>
          <w:sz w:val="20"/>
        </w:rPr>
        <w:t>TALUS's cap</w:t>
      </w:r>
      <w:r>
        <w:rPr>
          <w:rFonts w:ascii="Times New Roman" w:hAnsi="Times New Roman"/>
          <w:b w:val="0"/>
          <w:i w:val="0"/>
          <w:sz w:val="20"/>
        </w:rPr>
        <w:t xml:space="preserve"> sits about 2 bits below the authors' wall and 14–17 bits below Niot's unoptimised estimate (1); an optimised bounded-noise or ILP estimator could close this gap.</w:t>
      </w:r>
    </w:p>
    <w:p>
      <w:pPr>
        <w:spacing w:after="40"/>
        <w:ind w:left="360" w:hanging="259"/>
        <w:jc w:val="both"/>
      </w:pPr>
      <w:r>
        <w:rPr>
          <w:rFonts w:ascii="Times New Roman" w:hAnsi="Times New Roman"/>
          <w:b w:val="0"/>
          <w:i w:val="0"/>
          <w:sz w:val="20"/>
        </w:rPr>
        <w:t xml:space="preserve">• </w:t>
      </w:r>
      <w:r>
        <w:rPr>
          <w:rFonts w:ascii="Times New Roman" w:hAnsi="Times New Roman"/>
          <w:b/>
          <w:i w:val="0"/>
          <w:sz w:val="20"/>
        </w:rPr>
        <w:t>Rejected-attempt transcripts</w:t>
      </w:r>
      <w:r>
        <w:rPr>
          <w:rFonts w:ascii="Times New Roman" w:hAnsi="Times New Roman"/>
          <w:b w:val="0"/>
          <w:i w:val="0"/>
          <w:sz w:val="20"/>
        </w:rPr>
        <w:t xml:space="preserve"> (Quorus, Trilithium) and </w:t>
      </w:r>
      <w:r>
        <w:rPr>
          <w:rFonts w:ascii="Times New Roman" w:hAnsi="Times New Roman"/>
          <w:b/>
          <w:i w:val="0"/>
          <w:sz w:val="20"/>
        </w:rPr>
        <w:t>Mithril's accepted distribution and hint loss</w:t>
      </w:r>
      <w:r>
        <w:rPr>
          <w:rFonts w:ascii="Times New Roman" w:hAnsi="Times New Roman"/>
          <w:b w:val="0"/>
          <w:i w:val="0"/>
          <w:sz w:val="20"/>
        </w:rPr>
        <w:t xml:space="preserve"> (7–12 bits reported; proof for Q_s = 2^50 only) lack independent re-derivation.</w:t>
      </w:r>
    </w:p>
    <w:p>
      <w:pPr>
        <w:spacing w:after="40"/>
        <w:ind w:left="360" w:hanging="259"/>
        <w:jc w:val="both"/>
      </w:pPr>
      <w:r>
        <w:rPr>
          <w:rFonts w:ascii="Times New Roman" w:hAnsi="Times New Roman"/>
          <w:b w:val="0"/>
          <w:i w:val="0"/>
          <w:sz w:val="20"/>
        </w:rPr>
        <w:t xml:space="preserve">• </w:t>
      </w:r>
      <w:r>
        <w:rPr>
          <w:rFonts w:ascii="Times New Roman" w:hAnsi="Times New Roman"/>
          <w:b/>
          <w:i w:val="0"/>
          <w:sz w:val="20"/>
        </w:rPr>
        <w:t>Corruption-model gaps</w:t>
      </w:r>
      <w:r>
        <w:rPr>
          <w:rFonts w:ascii="Times New Roman" w:hAnsi="Times New Roman"/>
          <w:b w:val="0"/>
          <w:i w:val="0"/>
          <w:sz w:val="20"/>
        </w:rPr>
        <w:t>: static-only proofs, honest-majority boundaries and side conditions such as |S∖C| ≥ 2.</w:t>
      </w:r>
    </w:p>
    <w:p>
      <w:pPr>
        <w:jc w:val="both"/>
      </w:pPr>
      <w:r>
        <w:rPr>
          <w:rFonts w:ascii="Times New Roman" w:hAnsi="Times New Roman"/>
          <w:b w:val="0"/>
          <w:i w:val="0"/>
          <w:sz w:val="20"/>
        </w:rPr>
        <w:t>Mithril alone tolerates a dishonest majority but is limited to N ≤ 6; Quorus scales but needs an honest majority and many rounds; Trilithium covers phone-and-server with a trusted helper; TALUS minimises rounds but its s2 protection is a usage cap rather than a structural argument. Independent testing therefore adds most value where a proof contains a margin (TALUS), a heuristic (Trilithium) or a changed distribution (Mithril). Evidence quality differs as well: Mithril and Quorus have reductions in the (quantum) random oracle model, Trilithium a UC proof resting on an MLWR-type assumption, and TALUS an information-theoretic argument with a numerical margin. A margin is the one kind of evidence that can be checked directly by experiment, which is a further reason to make the TALUS cap the core problem.</w:t>
      </w:r>
    </w:p>
    <w:p>
      <w:pPr>
        <w:keepNext/>
        <w:spacing w:before="100" w:after="40"/>
      </w:pPr>
      <w:r>
        <w:rPr>
          <w:rFonts w:ascii="Times New Roman" w:hAnsi="Times New Roman"/>
          <w:b w:val="0"/>
          <w:i/>
          <w:sz w:val="20"/>
        </w:rPr>
        <w:t>G. A reusable attack checklist</w:t>
      </w:r>
    </w:p>
    <w:p>
      <w:pPr>
        <w:jc w:val="both"/>
      </w:pPr>
      <w:r>
        <w:rPr>
          <w:rFonts w:ascii="Times New Roman" w:hAnsi="Times New Roman"/>
          <w:b w:val="0"/>
          <w:i w:val="0"/>
          <w:sz w:val="20"/>
        </w:rPr>
        <w:t>Generalising the observed attacks, Table IV lists ten questions that can be asked of any threshold ML-DSA design; they structure both the survey and the harness of Section IV.</w:t>
      </w:r>
    </w:p>
    <w:p>
      <w:pPr>
        <w:keepNext/>
        <w:spacing w:after="40"/>
        <w:jc w:val="center"/>
      </w:pPr>
      <w:r>
        <w:rPr>
          <w:rFonts w:ascii="Times New Roman" w:hAnsi="Times New Roman"/>
          <w:b w:val="0"/>
          <w:i w:val="0"/>
          <w:sz w:val="16"/>
        </w:rPr>
        <w:t xml:space="preserve">TABLE IV. </w:t>
      </w:r>
      <w:r>
        <w:rPr>
          <w:rFonts w:ascii="Times New Roman" w:hAnsi="Times New Roman"/>
          <w:b w:val="0"/>
          <w:i w:val="0"/>
          <w:sz w:val="16"/>
        </w:rPr>
        <w:t>Attack checklist distilled from the survey</w:t>
      </w:r>
    </w:p>
    <w:tbl>
      <w:tblPr>
        <w:tblStyle w:val="TableGrid"/>
        <w:tblW w:type="auto" w:w="0"/>
        <w:tblLook w:firstColumn="1" w:firstRow="1" w:lastColumn="0" w:lastRow="0" w:noHBand="0" w:noVBand="1" w:val="04A0"/>
      </w:tblPr>
      <w:tblGrid>
        <w:gridCol w:w="3250"/>
        <w:gridCol w:w="3250"/>
        <w:gridCol w:w="3250"/>
      </w:tblGrid>
      <w:tr>
        <w:tc>
          <w:tcPr>
            <w:tcW w:type="dxa" w:w="301"/>
            <w:shd w:val="clear" w:color="auto" w:fill="D9D9D9"/>
          </w:tcPr>
          <w:p>
            <w:pPr>
              <w:spacing w:after="0"/>
            </w:pPr>
            <w:r/>
            <w:r>
              <w:rPr>
                <w:rFonts w:ascii="Times New Roman" w:hAnsi="Times New Roman"/>
                <w:b/>
                <w:i w:val="0"/>
                <w:sz w:val="16"/>
              </w:rPr>
              <w:t>#</w:t>
            </w:r>
          </w:p>
        </w:tc>
        <w:tc>
          <w:tcPr>
            <w:tcW w:type="dxa" w:w="2410"/>
            <w:shd w:val="clear" w:color="auto" w:fill="D9D9D9"/>
          </w:tcPr>
          <w:p>
            <w:pPr>
              <w:spacing w:after="0"/>
            </w:pPr>
            <w:r/>
            <w:r>
              <w:rPr>
                <w:rFonts w:ascii="Times New Roman" w:hAnsi="Times New Roman"/>
                <w:b/>
                <w:i w:val="0"/>
                <w:sz w:val="16"/>
              </w:rPr>
              <w:t>Question</w:t>
            </w:r>
          </w:p>
        </w:tc>
        <w:tc>
          <w:tcPr>
            <w:tcW w:type="dxa" w:w="2184"/>
            <w:shd w:val="clear" w:color="auto" w:fill="D9D9D9"/>
          </w:tcPr>
          <w:p>
            <w:pPr>
              <w:spacing w:after="0"/>
            </w:pPr>
            <w:r/>
            <w:r>
              <w:rPr>
                <w:rFonts w:ascii="Times New Roman" w:hAnsi="Times New Roman"/>
                <w:b/>
                <w:i w:val="0"/>
                <w:sz w:val="16"/>
              </w:rPr>
              <w:t>Typical consequence</w:t>
            </w:r>
          </w:p>
        </w:tc>
      </w:tr>
      <w:tr>
        <w:tc>
          <w:tcPr>
            <w:tcW w:type="dxa" w:w="301"/>
          </w:tcPr>
          <w:p>
            <w:pPr>
              <w:spacing w:after="0"/>
            </w:pPr>
            <w:r/>
            <w:r>
              <w:rPr>
                <w:rFonts w:ascii="Times New Roman" w:hAnsi="Times New Roman"/>
                <w:b w:val="0"/>
                <w:i w:val="0"/>
                <w:sz w:val="16"/>
              </w:rPr>
              <w:t>1</w:t>
            </w:r>
          </w:p>
        </w:tc>
        <w:tc>
          <w:tcPr>
            <w:tcW w:type="dxa" w:w="2410"/>
          </w:tcPr>
          <w:p>
            <w:pPr>
              <w:spacing w:after="0"/>
            </w:pPr>
            <w:r/>
            <w:r>
              <w:rPr>
                <w:rFonts w:ascii="Times New Roman" w:hAnsi="Times New Roman"/>
                <w:b w:val="0"/>
                <w:i w:val="0"/>
                <w:sz w:val="16"/>
              </w:rPr>
              <w:t>Is A·x published for a secret or nonce x?</w:t>
            </w:r>
          </w:p>
        </w:tc>
        <w:tc>
          <w:tcPr>
            <w:tcW w:type="dxa" w:w="2184"/>
          </w:tcPr>
          <w:p>
            <w:pPr>
              <w:spacing w:after="0"/>
            </w:pPr>
            <w:r/>
            <w:r>
              <w:rPr>
                <w:rFonts w:ascii="Times New Roman" w:hAnsi="Times New Roman"/>
                <w:b w:val="0"/>
                <w:i w:val="0"/>
                <w:sz w:val="16"/>
              </w:rPr>
              <w:t>x = A⁺(A·x) by Gaussian elimination</w:t>
            </w:r>
          </w:p>
        </w:tc>
      </w:tr>
      <w:tr>
        <w:tc>
          <w:tcPr>
            <w:tcW w:type="dxa" w:w="301"/>
          </w:tcPr>
          <w:p>
            <w:pPr>
              <w:spacing w:after="0"/>
            </w:pPr>
            <w:r/>
            <w:r>
              <w:rPr>
                <w:rFonts w:ascii="Times New Roman" w:hAnsi="Times New Roman"/>
                <w:b w:val="0"/>
                <w:i w:val="0"/>
                <w:sz w:val="16"/>
              </w:rPr>
              <w:t>2</w:t>
            </w:r>
          </w:p>
        </w:tc>
        <w:tc>
          <w:tcPr>
            <w:tcW w:type="dxa" w:w="2410"/>
          </w:tcPr>
          <w:p>
            <w:pPr>
              <w:spacing w:after="0"/>
            </w:pPr>
            <w:r/>
            <w:r>
              <w:rPr>
                <w:rFonts w:ascii="Times New Roman" w:hAnsi="Times New Roman"/>
                <w:b w:val="0"/>
                <w:i w:val="0"/>
                <w:sz w:val="16"/>
              </w:rPr>
              <w:t>Does any nonce leak to an observer?</w:t>
            </w:r>
          </w:p>
        </w:tc>
        <w:tc>
          <w:tcPr>
            <w:tcW w:type="dxa" w:w="2184"/>
          </w:tcPr>
          <w:p>
            <w:pPr>
              <w:spacing w:after="0"/>
            </w:pPr>
            <w:r/>
            <w:r>
              <w:rPr>
                <w:rFonts w:ascii="Times New Roman" w:hAnsi="Times New Roman"/>
                <w:b w:val="0"/>
                <w:i w:val="0"/>
                <w:sz w:val="16"/>
              </w:rPr>
              <w:t>s1 = c⁻¹(z − y)</w:t>
            </w:r>
          </w:p>
        </w:tc>
      </w:tr>
      <w:tr>
        <w:tc>
          <w:tcPr>
            <w:tcW w:type="dxa" w:w="301"/>
          </w:tcPr>
          <w:p>
            <w:pPr>
              <w:spacing w:after="0"/>
            </w:pPr>
            <w:r/>
            <w:r>
              <w:rPr>
                <w:rFonts w:ascii="Times New Roman" w:hAnsi="Times New Roman"/>
                <w:b w:val="0"/>
                <w:i w:val="0"/>
                <w:sz w:val="16"/>
              </w:rPr>
              <w:t>3</w:t>
            </w:r>
          </w:p>
        </w:tc>
        <w:tc>
          <w:tcPr>
            <w:tcW w:type="dxa" w:w="2410"/>
          </w:tcPr>
          <w:p>
            <w:pPr>
              <w:spacing w:after="0"/>
            </w:pPr>
            <w:r/>
            <w:r>
              <w:rPr>
                <w:rFonts w:ascii="Times New Roman" w:hAnsi="Times New Roman"/>
                <w:b w:val="0"/>
                <w:i w:val="0"/>
                <w:sz w:val="16"/>
              </w:rPr>
              <w:t>Are rejection checks removed, moved or altered?</w:t>
            </w:r>
          </w:p>
        </w:tc>
        <w:tc>
          <w:tcPr>
            <w:tcW w:type="dxa" w:w="2184"/>
          </w:tcPr>
          <w:p>
            <w:pPr>
              <w:spacing w:after="0"/>
            </w:pPr>
            <w:r/>
            <w:r>
              <w:rPr>
                <w:rFonts w:ascii="Times New Roman" w:hAnsi="Times New Roman"/>
                <w:b w:val="0"/>
                <w:i w:val="0"/>
                <w:sz w:val="16"/>
              </w:rPr>
              <w:t>ILWE: regress released values on c·s1, c·s2</w:t>
            </w:r>
          </w:p>
        </w:tc>
      </w:tr>
      <w:tr>
        <w:tc>
          <w:tcPr>
            <w:tcW w:type="dxa" w:w="301"/>
          </w:tcPr>
          <w:p>
            <w:pPr>
              <w:spacing w:after="0"/>
            </w:pPr>
            <w:r/>
            <w:r>
              <w:rPr>
                <w:rFonts w:ascii="Times New Roman" w:hAnsi="Times New Roman"/>
                <w:b w:val="0"/>
                <w:i w:val="0"/>
                <w:sz w:val="16"/>
              </w:rPr>
              <w:t>4</w:t>
            </w:r>
          </w:p>
        </w:tc>
        <w:tc>
          <w:tcPr>
            <w:tcW w:type="dxa" w:w="2410"/>
          </w:tcPr>
          <w:p>
            <w:pPr>
              <w:spacing w:after="0"/>
            </w:pPr>
            <w:r/>
            <w:r>
              <w:rPr>
                <w:rFonts w:ascii="Times New Roman" w:hAnsi="Times New Roman"/>
                <w:b w:val="0"/>
                <w:i w:val="0"/>
                <w:sz w:val="16"/>
              </w:rPr>
              <w:t>Is the accepted-z distribution non-uniform?</w:t>
            </w:r>
          </w:p>
        </w:tc>
        <w:tc>
          <w:tcPr>
            <w:tcW w:type="dxa" w:w="2184"/>
          </w:tcPr>
          <w:p>
            <w:pPr>
              <w:spacing w:after="0"/>
            </w:pPr>
            <w:r/>
            <w:r>
              <w:rPr>
                <w:rFonts w:ascii="Times New Roman" w:hAnsi="Times New Roman"/>
                <w:b w:val="0"/>
                <w:i w:val="0"/>
                <w:sz w:val="16"/>
              </w:rPr>
              <w:t>Fisher information; wall ≈ 4/(I·τ) signatures</w:t>
            </w:r>
          </w:p>
        </w:tc>
      </w:tr>
      <w:tr>
        <w:tc>
          <w:tcPr>
            <w:tcW w:type="dxa" w:w="301"/>
          </w:tcPr>
          <w:p>
            <w:pPr>
              <w:spacing w:after="0"/>
            </w:pPr>
            <w:r/>
            <w:r>
              <w:rPr>
                <w:rFonts w:ascii="Times New Roman" w:hAnsi="Times New Roman"/>
                <w:b w:val="0"/>
                <w:i w:val="0"/>
                <w:sz w:val="16"/>
              </w:rPr>
              <w:t>5</w:t>
            </w:r>
          </w:p>
        </w:tc>
        <w:tc>
          <w:tcPr>
            <w:tcW w:type="dxa" w:w="2410"/>
          </w:tcPr>
          <w:p>
            <w:pPr>
              <w:spacing w:after="0"/>
            </w:pPr>
            <w:r/>
            <w:r>
              <w:rPr>
                <w:rFonts w:ascii="Times New Roman" w:hAnsi="Times New Roman"/>
                <w:b w:val="0"/>
                <w:i w:val="0"/>
                <w:sz w:val="16"/>
              </w:rPr>
              <w:t>What do rejected-attempt transcripts reveal?</w:t>
            </w:r>
          </w:p>
        </w:tc>
        <w:tc>
          <w:tcPr>
            <w:tcW w:type="dxa" w:w="2184"/>
          </w:tcPr>
          <w:p>
            <w:pPr>
              <w:spacing w:after="0"/>
            </w:pPr>
            <w:r/>
            <w:r>
              <w:rPr>
                <w:rFonts w:ascii="Times New Roman" w:hAnsi="Times New Roman"/>
                <w:b w:val="0"/>
                <w:i w:val="0"/>
                <w:sz w:val="16"/>
              </w:rPr>
              <w:t>ILP on rejection bounds [18]</w:t>
            </w:r>
          </w:p>
        </w:tc>
      </w:tr>
      <w:tr>
        <w:tc>
          <w:tcPr>
            <w:tcW w:type="dxa" w:w="301"/>
          </w:tcPr>
          <w:p>
            <w:pPr>
              <w:spacing w:after="0"/>
            </w:pPr>
            <w:r/>
            <w:r>
              <w:rPr>
                <w:rFonts w:ascii="Times New Roman" w:hAnsi="Times New Roman"/>
                <w:b w:val="0"/>
                <w:i w:val="0"/>
                <w:sz w:val="16"/>
              </w:rPr>
              <w:t>6</w:t>
            </w:r>
          </w:p>
        </w:tc>
        <w:tc>
          <w:tcPr>
            <w:tcW w:type="dxa" w:w="2410"/>
          </w:tcPr>
          <w:p>
            <w:pPr>
              <w:spacing w:after="0"/>
            </w:pPr>
            <w:r/>
            <w:r>
              <w:rPr>
                <w:rFonts w:ascii="Times New Roman" w:hAnsi="Times New Roman"/>
                <w:b w:val="0"/>
                <w:i w:val="0"/>
                <w:sz w:val="16"/>
              </w:rPr>
              <w:t>Can a corrupted party bias its nonce share?</w:t>
            </w:r>
          </w:p>
        </w:tc>
        <w:tc>
          <w:tcPr>
            <w:tcW w:type="dxa" w:w="2184"/>
          </w:tcPr>
          <w:p>
            <w:pPr>
              <w:spacing w:after="0"/>
            </w:pPr>
            <w:r/>
            <w:r>
              <w:rPr>
                <w:rFonts w:ascii="Times New Roman" w:hAnsi="Times New Roman"/>
                <w:b w:val="0"/>
                <w:i w:val="0"/>
                <w:sz w:val="16"/>
              </w:rPr>
              <w:t>Checks always pass; statistical attack revived</w:t>
            </w:r>
          </w:p>
        </w:tc>
      </w:tr>
      <w:tr>
        <w:tc>
          <w:tcPr>
            <w:tcW w:type="dxa" w:w="301"/>
          </w:tcPr>
          <w:p>
            <w:pPr>
              <w:spacing w:after="0"/>
            </w:pPr>
            <w:r/>
            <w:r>
              <w:rPr>
                <w:rFonts w:ascii="Times New Roman" w:hAnsi="Times New Roman"/>
                <w:b w:val="0"/>
                <w:i w:val="0"/>
                <w:sz w:val="16"/>
              </w:rPr>
              <w:t>7</w:t>
            </w:r>
          </w:p>
        </w:tc>
        <w:tc>
          <w:tcPr>
            <w:tcW w:type="dxa" w:w="2410"/>
          </w:tcPr>
          <w:p>
            <w:pPr>
              <w:spacing w:after="0"/>
            </w:pPr>
            <w:r/>
            <w:r>
              <w:rPr>
                <w:rFonts w:ascii="Times New Roman" w:hAnsi="Times New Roman"/>
                <w:b w:val="0"/>
                <w:i w:val="0"/>
                <w:sz w:val="16"/>
              </w:rPr>
              <w:t>Are quorum and session bindings enforced?</w:t>
            </w:r>
          </w:p>
        </w:tc>
        <w:tc>
          <w:tcPr>
            <w:tcW w:type="dxa" w:w="2184"/>
          </w:tcPr>
          <w:p>
            <w:pPr>
              <w:spacing w:after="0"/>
            </w:pPr>
            <w:r/>
            <w:r>
              <w:rPr>
                <w:rFonts w:ascii="Times New Roman" w:hAnsi="Times New Roman"/>
                <w:b w:val="0"/>
                <w:i w:val="0"/>
                <w:sz w:val="16"/>
              </w:rPr>
              <w:t>Nonce reuse across quorums or sessions</w:t>
            </w:r>
          </w:p>
        </w:tc>
      </w:tr>
      <w:tr>
        <w:tc>
          <w:tcPr>
            <w:tcW w:type="dxa" w:w="301"/>
          </w:tcPr>
          <w:p>
            <w:pPr>
              <w:spacing w:after="0"/>
            </w:pPr>
            <w:r/>
            <w:r>
              <w:rPr>
                <w:rFonts w:ascii="Times New Roman" w:hAnsi="Times New Roman"/>
                <w:b w:val="0"/>
                <w:i w:val="0"/>
                <w:sz w:val="16"/>
              </w:rPr>
              <w:t>8</w:t>
            </w:r>
          </w:p>
        </w:tc>
        <w:tc>
          <w:tcPr>
            <w:tcW w:type="dxa" w:w="2410"/>
          </w:tcPr>
          <w:p>
            <w:pPr>
              <w:spacing w:after="0"/>
            </w:pPr>
            <w:r/>
            <w:r>
              <w:rPr>
                <w:rFonts w:ascii="Times New Roman" w:hAnsi="Times New Roman"/>
                <w:b w:val="0"/>
                <w:i w:val="0"/>
                <w:sz w:val="16"/>
              </w:rPr>
              <w:t>Are there corruption-model gaps?</w:t>
            </w:r>
          </w:p>
        </w:tc>
        <w:tc>
          <w:tcPr>
            <w:tcW w:type="dxa" w:w="2184"/>
          </w:tcPr>
          <w:p>
            <w:pPr>
              <w:spacing w:after="0"/>
            </w:pPr>
            <w:r/>
            <w:r>
              <w:rPr>
                <w:rFonts w:ascii="Times New Roman" w:hAnsi="Times New Roman"/>
                <w:b w:val="0"/>
                <w:i w:val="0"/>
                <w:sz w:val="16"/>
              </w:rPr>
              <w:t>Static-only proofs; conditions such as |S∖C| ≥ 2</w:t>
            </w:r>
          </w:p>
        </w:tc>
      </w:tr>
      <w:tr>
        <w:tc>
          <w:tcPr>
            <w:tcW w:type="dxa" w:w="301"/>
          </w:tcPr>
          <w:p>
            <w:pPr>
              <w:spacing w:after="0"/>
            </w:pPr>
            <w:r/>
            <w:r>
              <w:rPr>
                <w:rFonts w:ascii="Times New Roman" w:hAnsi="Times New Roman"/>
                <w:b w:val="0"/>
                <w:i w:val="0"/>
                <w:sz w:val="16"/>
              </w:rPr>
              <w:t>9</w:t>
            </w:r>
          </w:p>
        </w:tc>
        <w:tc>
          <w:tcPr>
            <w:tcW w:type="dxa" w:w="2410"/>
          </w:tcPr>
          <w:p>
            <w:pPr>
              <w:spacing w:after="0"/>
            </w:pPr>
            <w:r/>
            <w:r>
              <w:rPr>
                <w:rFonts w:ascii="Times New Roman" w:hAnsi="Times New Roman"/>
                <w:b w:val="0"/>
                <w:i w:val="0"/>
                <w:sz w:val="16"/>
              </w:rPr>
              <w:t>How much do a posteriori hints reduce hardness?</w:t>
            </w:r>
          </w:p>
        </w:tc>
        <w:tc>
          <w:tcPr>
            <w:tcW w:type="dxa" w:w="2184"/>
          </w:tcPr>
          <w:p>
            <w:pPr>
              <w:spacing w:after="0"/>
            </w:pPr>
            <w:r/>
            <w:r>
              <w:rPr>
                <w:rFonts w:ascii="Times New Roman" w:hAnsi="Times New Roman"/>
                <w:b w:val="0"/>
                <w:i w:val="0"/>
                <w:sz w:val="16"/>
              </w:rPr>
              <w:t>Lattice-estimator bit loss</w:t>
            </w:r>
          </w:p>
        </w:tc>
      </w:tr>
      <w:tr>
        <w:tc>
          <w:tcPr>
            <w:tcW w:type="dxa" w:w="301"/>
          </w:tcPr>
          <w:p>
            <w:pPr>
              <w:spacing w:after="0"/>
            </w:pPr>
            <w:r/>
            <w:r>
              <w:rPr>
                <w:rFonts w:ascii="Times New Roman" w:hAnsi="Times New Roman"/>
                <w:b w:val="0"/>
                <w:i w:val="0"/>
                <w:sz w:val="16"/>
              </w:rPr>
              <w:t>10</w:t>
            </w:r>
          </w:p>
        </w:tc>
        <w:tc>
          <w:tcPr>
            <w:tcW w:type="dxa" w:w="2410"/>
          </w:tcPr>
          <w:p>
            <w:pPr>
              <w:spacing w:after="0"/>
            </w:pPr>
            <w:r/>
            <w:r>
              <w:rPr>
                <w:rFonts w:ascii="Times New Roman" w:hAnsi="Times New Roman"/>
                <w:b w:val="0"/>
                <w:i w:val="0"/>
                <w:sz w:val="16"/>
              </w:rPr>
              <w:t>Do implementations match the specification?</w:t>
            </w:r>
          </w:p>
        </w:tc>
        <w:tc>
          <w:tcPr>
            <w:tcW w:type="dxa" w:w="2184"/>
          </w:tcPr>
          <w:p>
            <w:pPr>
              <w:spacing w:after="0"/>
            </w:pPr>
            <w:r/>
            <w:r>
              <w:rPr>
                <w:rFonts w:ascii="Times New Roman" w:hAnsi="Times New Roman"/>
                <w:b w:val="0"/>
                <w:i w:val="0"/>
                <w:sz w:val="16"/>
              </w:rPr>
              <w:t>Float samplers, timing, test vectors</w:t>
            </w:r>
          </w:p>
        </w:tc>
      </w:tr>
    </w:tbl>
    <w:p>
      <w:pPr>
        <w:spacing w:after="40"/>
      </w:pPr>
    </w:p>
    <w:p>
      <w:pPr>
        <w:keepNext/>
        <w:spacing w:before="100" w:after="40"/>
      </w:pPr>
      <w:r>
        <w:rPr>
          <w:rFonts w:ascii="Times New Roman" w:hAnsi="Times New Roman"/>
          <w:b w:val="0"/>
          <w:i/>
          <w:sz w:val="20"/>
        </w:rPr>
        <w:t>H. Literature matrix</w:t>
      </w:r>
    </w:p>
    <w:p>
      <w:pPr>
        <w:jc w:val="both"/>
      </w:pPr>
      <w:r>
        <w:rPr>
          <w:rFonts w:ascii="Times New Roman" w:hAnsi="Times New Roman"/>
          <w:b w:val="0"/>
          <w:i w:val="0"/>
          <w:sz w:val="20"/>
        </w:rPr>
        <w:t>Table V rates each surveyed source for relevance (H central, M supporting, L background) and marks its themes: TS threshold signatures, MD ML-DSA compatible, AT attack or leakage, SS secret sharing or MPC, RS rejection sampling, ST standard. Ref. [25], added in Phase 2 for the Mithril finding, is not part of the survey matrix.</w:t>
      </w:r>
    </w:p>
    <w:p>
      <w:pPr>
        <w:keepNext/>
        <w:spacing w:after="40"/>
        <w:jc w:val="center"/>
      </w:pPr>
      <w:r>
        <w:rPr>
          <w:rFonts w:ascii="Times New Roman" w:hAnsi="Times New Roman"/>
          <w:b w:val="0"/>
          <w:i w:val="0"/>
          <w:sz w:val="16"/>
        </w:rPr>
        <w:t xml:space="preserve">TABLE V. </w:t>
      </w:r>
      <w:r>
        <w:rPr>
          <w:rFonts w:ascii="Times New Roman" w:hAnsi="Times New Roman"/>
          <w:b w:val="0"/>
          <w:i w:val="0"/>
          <w:sz w:val="16"/>
        </w:rPr>
        <w:t>Literature matrix of the 24 surveyed sources</w:t>
      </w:r>
    </w:p>
    <w:tbl>
      <w:tblPr>
        <w:tblStyle w:val="TableGrid"/>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791"/>
            <w:shd w:val="clear" w:color="auto" w:fill="D9D9D9"/>
          </w:tcPr>
          <w:p>
            <w:pPr>
              <w:spacing w:after="0"/>
            </w:pPr>
            <w:r/>
            <w:r>
              <w:rPr>
                <w:rFonts w:ascii="Times New Roman" w:hAnsi="Times New Roman"/>
                <w:b/>
                <w:i w:val="0"/>
                <w:sz w:val="16"/>
              </w:rPr>
              <w:t>Ref</w:t>
            </w:r>
          </w:p>
        </w:tc>
        <w:tc>
          <w:tcPr>
            <w:tcW w:type="dxa" w:w="478"/>
            <w:shd w:val="clear" w:color="auto" w:fill="D9D9D9"/>
          </w:tcPr>
          <w:p>
            <w:pPr>
              <w:spacing w:after="0"/>
            </w:pPr>
            <w:r/>
            <w:r>
              <w:rPr>
                <w:rFonts w:ascii="Times New Roman" w:hAnsi="Times New Roman"/>
                <w:b/>
                <w:i w:val="0"/>
                <w:sz w:val="16"/>
              </w:rPr>
              <w:t>Year</w:t>
            </w:r>
          </w:p>
        </w:tc>
        <w:tc>
          <w:tcPr>
            <w:tcW w:type="dxa" w:w="478"/>
            <w:shd w:val="clear" w:color="auto" w:fill="D9D9D9"/>
          </w:tcPr>
          <w:p>
            <w:pPr>
              <w:spacing w:after="0"/>
            </w:pPr>
            <w:r/>
            <w:r>
              <w:rPr>
                <w:rFonts w:ascii="Times New Roman" w:hAnsi="Times New Roman"/>
                <w:b/>
                <w:i w:val="0"/>
                <w:sz w:val="16"/>
              </w:rPr>
              <w:t>Rel.</w:t>
            </w:r>
          </w:p>
        </w:tc>
        <w:tc>
          <w:tcPr>
            <w:tcW w:type="dxa" w:w="358"/>
            <w:shd w:val="clear" w:color="auto" w:fill="D9D9D9"/>
          </w:tcPr>
          <w:p>
            <w:pPr>
              <w:spacing w:after="0"/>
            </w:pPr>
            <w:r/>
            <w:r>
              <w:rPr>
                <w:rFonts w:ascii="Times New Roman" w:hAnsi="Times New Roman"/>
                <w:b/>
                <w:i w:val="0"/>
                <w:sz w:val="16"/>
              </w:rPr>
              <w:t>TS</w:t>
            </w:r>
          </w:p>
        </w:tc>
        <w:tc>
          <w:tcPr>
            <w:tcW w:type="dxa" w:w="358"/>
            <w:shd w:val="clear" w:color="auto" w:fill="D9D9D9"/>
          </w:tcPr>
          <w:p>
            <w:pPr>
              <w:spacing w:after="0"/>
            </w:pPr>
            <w:r/>
            <w:r>
              <w:rPr>
                <w:rFonts w:ascii="Times New Roman" w:hAnsi="Times New Roman"/>
                <w:b/>
                <w:i w:val="0"/>
                <w:sz w:val="16"/>
              </w:rPr>
              <w:t>MD</w:t>
            </w:r>
          </w:p>
        </w:tc>
        <w:tc>
          <w:tcPr>
            <w:tcW w:type="dxa" w:w="358"/>
            <w:shd w:val="clear" w:color="auto" w:fill="D9D9D9"/>
          </w:tcPr>
          <w:p>
            <w:pPr>
              <w:spacing w:after="0"/>
            </w:pPr>
            <w:r/>
            <w:r>
              <w:rPr>
                <w:rFonts w:ascii="Times New Roman" w:hAnsi="Times New Roman"/>
                <w:b/>
                <w:i w:val="0"/>
                <w:sz w:val="16"/>
              </w:rPr>
              <w:t>AT</w:t>
            </w:r>
          </w:p>
        </w:tc>
        <w:tc>
          <w:tcPr>
            <w:tcW w:type="dxa" w:w="358"/>
            <w:shd w:val="clear" w:color="auto" w:fill="D9D9D9"/>
          </w:tcPr>
          <w:p>
            <w:pPr>
              <w:spacing w:after="0"/>
            </w:pPr>
            <w:r/>
            <w:r>
              <w:rPr>
                <w:rFonts w:ascii="Times New Roman" w:hAnsi="Times New Roman"/>
                <w:b/>
                <w:i w:val="0"/>
                <w:sz w:val="16"/>
              </w:rPr>
              <w:t>SS</w:t>
            </w:r>
          </w:p>
        </w:tc>
        <w:tc>
          <w:tcPr>
            <w:tcW w:type="dxa" w:w="358"/>
            <w:shd w:val="clear" w:color="auto" w:fill="D9D9D9"/>
          </w:tcPr>
          <w:p>
            <w:pPr>
              <w:spacing w:after="0"/>
            </w:pPr>
            <w:r/>
            <w:r>
              <w:rPr>
                <w:rFonts w:ascii="Times New Roman" w:hAnsi="Times New Roman"/>
                <w:b/>
                <w:i w:val="0"/>
                <w:sz w:val="16"/>
              </w:rPr>
              <w:t>RS</w:t>
            </w:r>
          </w:p>
        </w:tc>
        <w:tc>
          <w:tcPr>
            <w:tcW w:type="dxa" w:w="358"/>
            <w:shd w:val="clear" w:color="auto" w:fill="D9D9D9"/>
          </w:tcPr>
          <w:p>
            <w:pPr>
              <w:spacing w:after="0"/>
            </w:pPr>
            <w:r/>
            <w:r>
              <w:rPr>
                <w:rFonts w:ascii="Times New Roman" w:hAnsi="Times New Roman"/>
                <w:b/>
                <w:i w:val="0"/>
                <w:sz w:val="16"/>
              </w:rPr>
              <w:t>ST</w:t>
            </w:r>
          </w:p>
        </w:tc>
      </w:tr>
      <w:tr>
        <w:tc>
          <w:tcPr>
            <w:tcW w:type="dxa" w:w="1791"/>
          </w:tcPr>
          <w:p>
            <w:pPr>
              <w:spacing w:after="0"/>
            </w:pPr>
            <w:r/>
            <w:r>
              <w:rPr>
                <w:rFonts w:ascii="Times New Roman" w:hAnsi="Times New Roman"/>
                <w:b w:val="0"/>
                <w:i w:val="0"/>
                <w:sz w:val="16"/>
              </w:rPr>
              <w:t>[1] FIPS 204</w:t>
            </w:r>
          </w:p>
        </w:tc>
        <w:tc>
          <w:tcPr>
            <w:tcW w:type="dxa" w:w="478"/>
          </w:tcPr>
          <w:p>
            <w:pPr>
              <w:spacing w:after="0"/>
            </w:pPr>
            <w:r/>
            <w:r>
              <w:rPr>
                <w:rFonts w:ascii="Times New Roman" w:hAnsi="Times New Roman"/>
                <w:b w:val="0"/>
                <w:i w:val="0"/>
                <w:sz w:val="16"/>
              </w:rPr>
              <w:t>2024</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r>
      <w:tr>
        <w:tc>
          <w:tcPr>
            <w:tcW w:type="dxa" w:w="1791"/>
          </w:tcPr>
          <w:p>
            <w:pPr>
              <w:spacing w:after="0"/>
            </w:pPr>
            <w:r/>
            <w:r>
              <w:rPr>
                <w:rFonts w:ascii="Times New Roman" w:hAnsi="Times New Roman"/>
                <w:b w:val="0"/>
                <w:i w:val="0"/>
                <w:sz w:val="16"/>
              </w:rPr>
              <w:t>[2] Dilithium</w:t>
            </w:r>
          </w:p>
        </w:tc>
        <w:tc>
          <w:tcPr>
            <w:tcW w:type="dxa" w:w="478"/>
          </w:tcPr>
          <w:p>
            <w:pPr>
              <w:spacing w:after="0"/>
            </w:pPr>
            <w:r/>
            <w:r>
              <w:rPr>
                <w:rFonts w:ascii="Times New Roman" w:hAnsi="Times New Roman"/>
                <w:b w:val="0"/>
                <w:i w:val="0"/>
                <w:sz w:val="16"/>
              </w:rPr>
              <w:t>2018</w:t>
            </w:r>
          </w:p>
        </w:tc>
        <w:tc>
          <w:tcPr>
            <w:tcW w:type="dxa" w:w="478"/>
          </w:tcPr>
          <w:p>
            <w:pPr>
              <w:spacing w:after="0"/>
            </w:pPr>
            <w:r/>
            <w:r>
              <w:rPr>
                <w:rFonts w:ascii="Times New Roman" w:hAnsi="Times New Roman"/>
                <w:b w:val="0"/>
                <w:i w:val="0"/>
                <w:sz w:val="16"/>
              </w:rPr>
              <w:t>M</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[3] IR 8214C</w:t>
            </w:r>
          </w:p>
        </w:tc>
        <w:tc>
          <w:tcPr>
            <w:tcW w:type="dxa" w:w="478"/>
          </w:tcPr>
          <w:p>
            <w:pPr>
              <w:spacing w:after="0"/>
            </w:pPr>
            <w:r/>
            <w:r>
              <w:rPr>
                <w:rFonts w:ascii="Times New Roman" w:hAnsi="Times New Roman"/>
                <w:b w:val="0"/>
                <w:i w:val="0"/>
                <w:sz w:val="16"/>
              </w:rPr>
              <w:t>2026</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r>
      <w:tr>
        <w:tc>
          <w:tcPr>
            <w:tcW w:type="dxa" w:w="1791"/>
          </w:tcPr>
          <w:p>
            <w:pPr>
              <w:spacing w:after="0"/>
            </w:pPr>
            <w:r/>
            <w:r>
              <w:rPr>
                <w:rFonts w:ascii="Times New Roman" w:hAnsi="Times New Roman"/>
                <w:b w:val="0"/>
                <w:i w:val="0"/>
                <w:sz w:val="16"/>
              </w:rPr>
              <w:t>[4] Mithril ePrint</w:t>
            </w:r>
          </w:p>
        </w:tc>
        <w:tc>
          <w:tcPr>
            <w:tcW w:type="dxa" w:w="478"/>
          </w:tcPr>
          <w:p>
            <w:pPr>
              <w:spacing w:after="0"/>
            </w:pPr>
            <w:r/>
            <w:r>
              <w:rPr>
                <w:rFonts w:ascii="Times New Roman" w:hAnsi="Times New Roman"/>
                <w:b w:val="0"/>
                <w:i w:val="0"/>
                <w:sz w:val="16"/>
              </w:rPr>
              <w:t>2026</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[5] Reloaded</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M</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[6] Mithril poster</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L</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[7] Mithril PW01</w:t>
            </w:r>
          </w:p>
        </w:tc>
        <w:tc>
          <w:tcPr>
            <w:tcW w:type="dxa" w:w="478"/>
          </w:tcPr>
          <w:p>
            <w:pPr>
              <w:spacing w:after="0"/>
            </w:pPr>
            <w:r/>
            <w:r>
              <w:rPr>
                <w:rFonts w:ascii="Times New Roman" w:hAnsi="Times New Roman"/>
                <w:b w:val="0"/>
                <w:i w:val="0"/>
                <w:sz w:val="16"/>
              </w:rPr>
              <w:t>2026</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r>
      <w:tr>
        <w:tc>
          <w:tcPr>
            <w:tcW w:type="dxa" w:w="1791"/>
          </w:tcPr>
          <w:p>
            <w:pPr>
              <w:spacing w:after="0"/>
            </w:pPr>
            <w:r/>
            <w:r>
              <w:rPr>
                <w:rFonts w:ascii="Times New Roman" w:hAnsi="Times New Roman"/>
                <w:b w:val="0"/>
                <w:i w:val="0"/>
                <w:sz w:val="16"/>
              </w:rPr>
              <w:t>[8] Quorus</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[9] Trilithium</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[10] TALUS</w:t>
            </w:r>
          </w:p>
        </w:tc>
        <w:tc>
          <w:tcPr>
            <w:tcW w:type="dxa" w:w="478"/>
          </w:tcPr>
          <w:p>
            <w:pPr>
              <w:spacing w:after="0"/>
            </w:pPr>
            <w:r/>
            <w:r>
              <w:rPr>
                <w:rFonts w:ascii="Times New Roman" w:hAnsi="Times New Roman"/>
                <w:b w:val="0"/>
                <w:i w:val="0"/>
                <w:sz w:val="16"/>
              </w:rPr>
              <w:t>2026</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[11] TALUS PW v0.22</w:t>
            </w:r>
          </w:p>
        </w:tc>
        <w:tc>
          <w:tcPr>
            <w:tcW w:type="dxa" w:w="478"/>
          </w:tcPr>
          <w:p>
            <w:pPr>
              <w:spacing w:after="0"/>
            </w:pPr>
            <w:r/>
            <w:r>
              <w:rPr>
                <w:rFonts w:ascii="Times New Roman" w:hAnsi="Times New Roman"/>
                <w:b w:val="0"/>
                <w:i w:val="0"/>
                <w:sz w:val="16"/>
              </w:rPr>
              <w:t>2026</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r>
      <w:tr>
        <w:tc>
          <w:tcPr>
            <w:tcW w:type="dxa" w:w="1791"/>
          </w:tcPr>
          <w:p>
            <w:pPr>
              <w:spacing w:after="0"/>
            </w:pPr>
            <w:r/>
            <w:r>
              <w:rPr>
                <w:rFonts w:ascii="Times New Roman" w:hAnsi="Times New Roman"/>
                <w:b w:val="0"/>
                <w:i w:val="0"/>
                <w:sz w:val="16"/>
              </w:rPr>
              <w:t>[12] Shamir nonce DKG</w:t>
            </w:r>
          </w:p>
        </w:tc>
        <w:tc>
          <w:tcPr>
            <w:tcW w:type="dxa" w:w="478"/>
          </w:tcPr>
          <w:p>
            <w:pPr>
              <w:spacing w:after="0"/>
            </w:pPr>
            <w:r/>
            <w:r>
              <w:rPr>
                <w:rFonts w:ascii="Times New Roman" w:hAnsi="Times New Roman"/>
                <w:b w:val="0"/>
                <w:i w:val="0"/>
                <w:sz w:val="16"/>
              </w:rPr>
              <w:t>2026</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[13] Niot attack</w:t>
            </w:r>
          </w:p>
        </w:tc>
        <w:tc>
          <w:tcPr>
            <w:tcW w:type="dxa" w:w="478"/>
          </w:tcPr>
          <w:p>
            <w:pPr>
              <w:spacing w:after="0"/>
            </w:pPr>
            <w:r/>
            <w:r>
              <w:rPr>
                <w:rFonts w:ascii="Times New Roman" w:hAnsi="Times New Roman"/>
                <w:b w:val="0"/>
                <w:i w:val="0"/>
                <w:sz w:val="16"/>
              </w:rPr>
              <w:t>2026</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[14] Threshold Raccoon</w:t>
            </w:r>
          </w:p>
        </w:tc>
        <w:tc>
          <w:tcPr>
            <w:tcW w:type="dxa" w:w="478"/>
          </w:tcPr>
          <w:p>
            <w:pPr>
              <w:spacing w:after="0"/>
            </w:pPr>
            <w:r/>
            <w:r>
              <w:rPr>
                <w:rFonts w:ascii="Times New Roman" w:hAnsi="Times New Roman"/>
                <w:b w:val="0"/>
                <w:i w:val="0"/>
                <w:sz w:val="16"/>
              </w:rPr>
              <w:t>2024</w:t>
            </w:r>
          </w:p>
        </w:tc>
        <w:tc>
          <w:tcPr>
            <w:tcW w:type="dxa" w:w="478"/>
          </w:tcPr>
          <w:p>
            <w:pPr>
              <w:spacing w:after="0"/>
            </w:pPr>
            <w:r/>
            <w:r>
              <w:rPr>
                <w:rFonts w:ascii="Times New Roman" w:hAnsi="Times New Roman"/>
                <w:b w:val="0"/>
                <w:i w:val="0"/>
                <w:sz w:val="16"/>
              </w:rPr>
              <w:t>M</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[15] Lattice TS + IA</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L</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[16] Gur et al.</w:t>
            </w:r>
          </w:p>
        </w:tc>
        <w:tc>
          <w:tcPr>
            <w:tcW w:type="dxa" w:w="478"/>
          </w:tcPr>
          <w:p>
            <w:pPr>
              <w:spacing w:after="0"/>
            </w:pPr>
            <w:r/>
            <w:r>
              <w:rPr>
                <w:rFonts w:ascii="Times New Roman" w:hAnsi="Times New Roman"/>
                <w:b w:val="0"/>
                <w:i w:val="0"/>
                <w:sz w:val="16"/>
              </w:rPr>
              <w:t>2024</w:t>
            </w:r>
          </w:p>
        </w:tc>
        <w:tc>
          <w:tcPr>
            <w:tcW w:type="dxa" w:w="478"/>
          </w:tcPr>
          <w:p>
            <w:pPr>
              <w:spacing w:after="0"/>
            </w:pPr>
            <w:r/>
            <w:r>
              <w:rPr>
                <w:rFonts w:ascii="Times New Roman" w:hAnsi="Times New Roman"/>
                <w:b w:val="0"/>
                <w:i w:val="0"/>
                <w:sz w:val="16"/>
              </w:rPr>
              <w:t>L</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[17] ILWE / BLISS</w:t>
            </w:r>
          </w:p>
        </w:tc>
        <w:tc>
          <w:tcPr>
            <w:tcW w:type="dxa" w:w="478"/>
          </w:tcPr>
          <w:p>
            <w:pPr>
              <w:spacing w:after="0"/>
            </w:pPr>
            <w:r/>
            <w:r>
              <w:rPr>
                <w:rFonts w:ascii="Times New Roman" w:hAnsi="Times New Roman"/>
                <w:b w:val="0"/>
                <w:i w:val="0"/>
                <w:sz w:val="16"/>
              </w:rPr>
              <w:t>2018</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[18] Rejected sigs</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[19] Concealed ILWE</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H</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[20] ILWE + rej. samp.</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M</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[21] Shamir</w:t>
            </w:r>
          </w:p>
        </w:tc>
        <w:tc>
          <w:tcPr>
            <w:tcW w:type="dxa" w:w="478"/>
          </w:tcPr>
          <w:p>
            <w:pPr>
              <w:spacing w:after="0"/>
            </w:pPr>
            <w:r/>
            <w:r>
              <w:rPr>
                <w:rFonts w:ascii="Times New Roman" w:hAnsi="Times New Roman"/>
                <w:b w:val="0"/>
                <w:i w:val="0"/>
                <w:sz w:val="16"/>
              </w:rPr>
              <w:t>1979</w:t>
            </w:r>
          </w:p>
        </w:tc>
        <w:tc>
          <w:tcPr>
            <w:tcW w:type="dxa" w:w="478"/>
          </w:tcPr>
          <w:p>
            <w:pPr>
              <w:spacing w:after="0"/>
            </w:pPr>
            <w:r/>
            <w:r>
              <w:rPr>
                <w:rFonts w:ascii="Times New Roman" w:hAnsi="Times New Roman"/>
                <w:b w:val="0"/>
                <w:i w:val="0"/>
                <w:sz w:val="16"/>
              </w:rPr>
              <w:t>L</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[22] Feldman</w:t>
            </w:r>
          </w:p>
        </w:tc>
        <w:tc>
          <w:tcPr>
            <w:tcW w:type="dxa" w:w="478"/>
          </w:tcPr>
          <w:p>
            <w:pPr>
              <w:spacing w:after="0"/>
            </w:pPr>
            <w:r/>
            <w:r>
              <w:rPr>
                <w:rFonts w:ascii="Times New Roman" w:hAnsi="Times New Roman"/>
                <w:b w:val="0"/>
                <w:i w:val="0"/>
                <w:sz w:val="16"/>
              </w:rPr>
              <w:t>1987</w:t>
            </w:r>
          </w:p>
        </w:tc>
        <w:tc>
          <w:tcPr>
            <w:tcW w:type="dxa" w:w="478"/>
          </w:tcPr>
          <w:p>
            <w:pPr>
              <w:spacing w:after="0"/>
            </w:pPr>
            <w:r/>
            <w:r>
              <w:rPr>
                <w:rFonts w:ascii="Times New Roman" w:hAnsi="Times New Roman"/>
                <w:b w:val="0"/>
                <w:i w:val="0"/>
                <w:sz w:val="16"/>
              </w:rPr>
              <w:t>M</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[23] FROST</w:t>
            </w:r>
          </w:p>
        </w:tc>
        <w:tc>
          <w:tcPr>
            <w:tcW w:type="dxa" w:w="478"/>
          </w:tcPr>
          <w:p>
            <w:pPr>
              <w:spacing w:after="0"/>
            </w:pPr>
            <w:r/>
            <w:r>
              <w:rPr>
                <w:rFonts w:ascii="Times New Roman" w:hAnsi="Times New Roman"/>
                <w:b w:val="0"/>
                <w:i w:val="0"/>
                <w:sz w:val="16"/>
              </w:rPr>
              <w:t>2020</w:t>
            </w:r>
          </w:p>
        </w:tc>
        <w:tc>
          <w:tcPr>
            <w:tcW w:type="dxa" w:w="478"/>
          </w:tcPr>
          <w:p>
            <w:pPr>
              <w:spacing w:after="0"/>
            </w:pPr>
            <w:r/>
            <w:r>
              <w:rPr>
                <w:rFonts w:ascii="Times New Roman" w:hAnsi="Times New Roman"/>
                <w:b w:val="0"/>
                <w:i w:val="0"/>
                <w:sz w:val="16"/>
              </w:rPr>
              <w:t>L</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r>
        <w:tc>
          <w:tcPr>
            <w:tcW w:type="dxa" w:w="1791"/>
          </w:tcPr>
          <w:p>
            <w:pPr>
              <w:spacing w:after="0"/>
            </w:pPr>
            <w:r/>
            <w:r>
              <w:rPr>
                <w:rFonts w:ascii="Times New Roman" w:hAnsi="Times New Roman"/>
                <w:b w:val="0"/>
                <w:i w:val="0"/>
                <w:sz w:val="16"/>
              </w:rPr>
              <w:t>[24] Finally!</w:t>
            </w:r>
          </w:p>
        </w:tc>
        <w:tc>
          <w:tcPr>
            <w:tcW w:type="dxa" w:w="478"/>
          </w:tcPr>
          <w:p>
            <w:pPr>
              <w:spacing w:after="0"/>
            </w:pPr>
            <w:r/>
            <w:r>
              <w:rPr>
                <w:rFonts w:ascii="Times New Roman" w:hAnsi="Times New Roman"/>
                <w:b w:val="0"/>
                <w:i w:val="0"/>
                <w:sz w:val="16"/>
              </w:rPr>
              <w:t>2025</w:t>
            </w:r>
          </w:p>
        </w:tc>
        <w:tc>
          <w:tcPr>
            <w:tcW w:type="dxa" w:w="478"/>
          </w:tcPr>
          <w:p>
            <w:pPr>
              <w:spacing w:after="0"/>
            </w:pPr>
            <w:r/>
            <w:r>
              <w:rPr>
                <w:rFonts w:ascii="Times New Roman" w:hAnsi="Times New Roman"/>
                <w:b w:val="0"/>
                <w:i w:val="0"/>
                <w:sz w:val="16"/>
              </w:rPr>
              <w:t>M</w:t>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t>x</w:t>
            </w:r>
          </w:p>
        </w:tc>
        <w:tc>
          <w:tcPr>
            <w:tcW w:type="dxa" w:w="358"/>
          </w:tcPr>
          <w:p>
            <w:pPr>
              <w:spacing w:after="0"/>
            </w:pPr>
            <w:r/>
            <w:r>
              <w:rPr>
                <w:rFonts w:ascii="Times New Roman" w:hAnsi="Times New Roman"/>
                <w:b w:val="0"/>
                <w:i w:val="0"/>
                <w:sz w:val="16"/>
              </w:rPr>
            </w:r>
          </w:p>
        </w:tc>
        <w:tc>
          <w:tcPr>
            <w:tcW w:type="dxa" w:w="358"/>
          </w:tcPr>
          <w:p>
            <w:pPr>
              <w:spacing w:after="0"/>
            </w:pPr>
            <w:r/>
            <w:r>
              <w:rPr>
                <w:rFonts w:ascii="Times New Roman" w:hAnsi="Times New Roman"/>
                <w:b w:val="0"/>
                <w:i w:val="0"/>
                <w:sz w:val="16"/>
              </w:rPr>
            </w:r>
          </w:p>
        </w:tc>
      </w:tr>
    </w:tbl>
    <w:p>
      <w:pPr>
        <w:spacing w:after="40"/>
      </w:pPr>
    </w:p>
    <w:p>
      <w:pPr>
        <w:jc w:val="both"/>
      </w:pPr>
      <w:r>
        <w:rPr>
          <w:rFonts w:ascii="Times New Roman" w:hAnsi="Times New Roman"/>
          <w:b w:val="0"/>
          <w:i w:val="0"/>
          <w:sz w:val="20"/>
        </w:rPr>
        <w:t>Of the 24 sources, 13 are central, 6 supporting and 5 background; sixteen appeared in 2025 or 2026, and 22 of 24 in 2018 or later. The sources marked AT are the evidence base for the estimators in Section IV.</w:t>
      </w:r>
    </w:p>
    <w:p>
      <w:pPr>
        <w:jc w:val="both"/>
      </w:pPr>
      <w:r>
        <w:rPr>
          <w:rFonts w:ascii="Times New Roman" w:hAnsi="Times New Roman"/>
          <w:b/>
          <w:i w:val="0"/>
          <w:sz w:val="20"/>
        </w:rPr>
        <w:t>Design rules that follow from the survey.</w:t>
      </w:r>
      <w:r>
        <w:rPr>
          <w:rFonts w:ascii="Times New Roman" w:hAnsi="Times New Roman"/>
          <w:b w:val="0"/>
          <w:i w:val="0"/>
          <w:sz w:val="20"/>
        </w:rPr>
        <w:t xml:space="preserve"> Do not publish any linear image of a secret or nonce under A, however it is masked, unless the mask stays hiding under the worst-case corruption allowed (checklist items 1 and 8). Treat the nonce as secret as the key, including in blame and abort procedures (item 2). Keep every single-signer rejection check or prove that the replacement leaks no more (item 3). And bound the signatures per key only with a margin that an optimised estimator, not just least squares, cannot close (item 4). The First-Call history shows these rules are easy to violate when importing discrete-log patterns.</w:t>
      </w:r>
    </w:p>
    <w:p>
      <w:pPr>
        <w:keepNext/>
        <w:spacing w:before="100" w:after="40"/>
      </w:pPr>
      <w:r>
        <w:rPr>
          <w:rFonts w:ascii="Times New Roman" w:hAnsi="Times New Roman"/>
          <w:b w:val="0"/>
          <w:i/>
          <w:sz w:val="20"/>
        </w:rPr>
        <w:t>I. Attack surface: Phase 1 hypotheses and verdicts after full reading</w:t>
      </w:r>
    </w:p>
    <w:p>
      <w:pPr>
        <w:jc w:val="both"/>
      </w:pPr>
      <w:r>
        <w:rPr>
          <w:rFonts w:ascii="Times New Roman" w:hAnsi="Times New Roman"/>
          <w:b w:val="0"/>
          <w:i w:val="0"/>
          <w:sz w:val="20"/>
        </w:rPr>
        <w:t>Each Phase 1 hypothesis is listed with its verdict after reading the papers and running the harness (details in Section V). “Confirmed” means the paper text supports it; it does not mean an attack.</w:t>
      </w:r>
    </w:p>
    <w:p>
      <w:pPr>
        <w:jc w:val="both"/>
      </w:pPr>
      <w:r>
        <w:rPr>
          <w:rFonts w:ascii="Times New Roman" w:hAnsi="Times New Roman"/>
          <w:b/>
          <w:i w:val="0"/>
          <w:sz w:val="20"/>
        </w:rPr>
        <w:t>Mithril.</w:t>
      </w:r>
      <w:r>
        <w:rPr>
          <w:rFonts w:ascii="Times New Roman" w:hAnsi="Times New Roman"/>
          <w:b w:val="0"/>
          <w:i w:val="0"/>
          <w:sz w:val="20"/>
        </w:rPr>
        <w:t xml:space="preserve"> (i) Accepted-response loss beyond 2^50: confirmed as a proof gap; the published parameters give Q_s = 2^26–2^37 under the paper's own theorem (Section V-B). (ii) Hint loss of 7–12 bits: revised; our lattice-estimator rerun gives up to 23.9 bits for ML-DSA-65. (iii) Adaptive corruption and (iv) selective aborts: not examined further. (v) Floating-point sampler: not tested (Go code not run).</w:t>
      </w:r>
    </w:p>
    <w:p>
      <w:pPr>
        <w:jc w:val="both"/>
      </w:pPr>
      <w:r>
        <w:rPr>
          <w:rFonts w:ascii="Times New Roman" w:hAnsi="Times New Roman"/>
          <w:b/>
          <w:i w:val="0"/>
          <w:sz w:val="20"/>
        </w:rPr>
        <w:t>Quorus.</w:t>
      </w:r>
      <w:r>
        <w:rPr>
          <w:rFonts w:ascii="Times New Roman" w:hAnsi="Times New Roman"/>
          <w:b w:val="0"/>
          <w:i w:val="0"/>
          <w:sz w:val="20"/>
        </w:rPr>
        <w:t xml:space="preserve"> (i) Reveal-on-reject is proven simulatable: confirmed, but the proof is computational (MLWE), not statistical. We also correct our own wording: A·y + e_w is uniform per coefficient, not as a whole vector, so only low-order statistical tests are ruled out. (ii) Only ⊥ is revealed: confirmed; the batched-OR step has 40-bit soundness. (iii) Building blocks: two text errors found (Section V-D), not attacks. (iv) Honest-majority boundary: narrowed; the paper treats only n = 2t+1.</w:t>
      </w:r>
    </w:p>
    <w:p>
      <w:pPr>
        <w:jc w:val="both"/>
      </w:pPr>
      <w:r>
        <w:rPr>
          <w:rFonts w:ascii="Times New Roman" w:hAnsi="Times New Roman"/>
          <w:b/>
          <w:i w:val="0"/>
          <w:sz w:val="20"/>
        </w:rPr>
        <w:t>Trilithium.</w:t>
      </w:r>
      <w:r>
        <w:rPr>
          <w:rFonts w:ascii="Times New Roman" w:hAnsi="Times New Roman"/>
          <w:b w:val="0"/>
          <w:i w:val="0"/>
          <w:sz w:val="20"/>
        </w:rPr>
        <w:t xml:space="preserve"> (i) Revised: after rejection the released value is the commitment w_H, not a partial signature, under an explicit MLWR-type assumption. (ii) The declassified bit is one bit per attempt, as in ML-DSA retries: confirmed. (iii) A malicious server tampering with the rejection check: confirmed as a simulation gap visible in the paper's own proof text, worth at most about log2(attempts) bits once. (iv) CRP: trusted; CRP+server collusion is fatal by design.</w:t>
      </w:r>
    </w:p>
    <w:p>
      <w:pPr>
        <w:jc w:val="both"/>
      </w:pPr>
      <w:r>
        <w:rPr>
          <w:rFonts w:ascii="Times New Roman" w:hAnsi="Times New Roman"/>
          <w:b/>
          <w:i w:val="0"/>
          <w:sz w:val="20"/>
        </w:rPr>
        <w:t>TALUS v0.22.</w:t>
      </w:r>
      <w:r>
        <w:rPr>
          <w:rFonts w:ascii="Times New Roman" w:hAnsi="Times New Roman"/>
          <w:b w:val="0"/>
          <w:i w:val="0"/>
          <w:sz w:val="20"/>
        </w:rPr>
        <w:t xml:space="preserve"> The cap is the whole s2 argument and the noise has sharp edges: measured in Section V-A. </w:t>
      </w:r>
      <w:r>
        <w:rPr>
          <w:rFonts w:ascii="Times New Roman" w:hAnsi="Times New Roman"/>
          <w:b/>
          <w:i w:val="0"/>
          <w:sz w:val="20"/>
        </w:rPr>
        <w:t>Kao P2:</w:t>
      </w:r>
      <w:r>
        <w:rPr>
          <w:rFonts w:ascii="Times New Roman" w:hAnsi="Times New Roman"/>
          <w:b w:val="0"/>
          <w:i w:val="0"/>
          <w:sz w:val="20"/>
        </w:rPr>
        <w:t xml:space="preserve"> hypothesis strengthened to a key exposure (Section V-C).</w:t>
      </w:r>
    </w:p>
    <w:p>
      <w:pPr>
        <w:keepNext/>
        <w:spacing w:before="160" w:after="60"/>
        <w:jc w:val="center"/>
      </w:pPr>
      <w:r>
        <w:rPr>
          <w:rFonts w:ascii="Times New Roman" w:hAnsi="Times New Roman"/>
          <w:b w:val="0"/>
          <w:i w:val="0"/>
          <w:sz w:val="20"/>
        </w:rPr>
        <w:t>III. PROBLEM FORMULATION</w:t>
      </w:r>
    </w:p>
    <w:p>
      <w:pPr>
        <w:keepNext/>
        <w:spacing w:before="100" w:after="40"/>
      </w:pPr>
      <w:r>
        <w:rPr>
          <w:rFonts w:ascii="Times New Roman" w:hAnsi="Times New Roman"/>
          <w:b w:val="0"/>
          <w:i/>
          <w:sz w:val="20"/>
        </w:rPr>
        <w:t>A. Threat model and notation</w:t>
      </w:r>
    </w:p>
    <w:p>
      <w:pPr>
        <w:jc w:val="both"/>
      </w:pPr>
      <w:r>
        <w:rPr>
          <w:rFonts w:ascii="Times New Roman" w:hAnsi="Times New Roman"/>
          <w:b w:val="0"/>
          <w:i w:val="0"/>
          <w:sz w:val="20"/>
        </w:rPr>
        <w:t>A (T, N) threshold scheme Π has a transcript distribution Tr_Π(sk, m): everything an adversary sees while m is signed, including broadcasts, corrupted parties' state and aborted attempts. The adversary statically corrupts as many parties as the scheme allows, observes q_s signing sessions and wins by recovering the secret (s1 suffices, since s2 then follows from t). We study key recovery, which is stronger evidence than a distinguishing bias. Table VI adds the notation not defined in Section I.</w:t>
      </w:r>
    </w:p>
    <w:p>
      <w:pPr>
        <w:keepNext/>
        <w:spacing w:after="40"/>
        <w:jc w:val="center"/>
      </w:pPr>
      <w:r>
        <w:rPr>
          <w:rFonts w:ascii="Times New Roman" w:hAnsi="Times New Roman"/>
          <w:b w:val="0"/>
          <w:i w:val="0"/>
          <w:sz w:val="16"/>
        </w:rPr>
        <w:t xml:space="preserve">TABLE VI. </w:t>
      </w:r>
      <w:r>
        <w:rPr>
          <w:rFonts w:ascii="Times New Roman" w:hAnsi="Times New Roman"/>
          <w:b w:val="0"/>
          <w:i w:val="0"/>
          <w:sz w:val="16"/>
        </w:rPr>
        <w:t>Notation added for Sections III–V</w:t>
      </w:r>
    </w:p>
    <w:tbl>
      <w:tblPr>
        <w:tblStyle w:val="TableGrid"/>
        <w:tblW w:type="auto" w:w="0"/>
        <w:tblLook w:firstColumn="1" w:firstRow="1" w:lastColumn="0" w:lastRow="0" w:noHBand="0" w:noVBand="1" w:val="04A0"/>
      </w:tblPr>
      <w:tblGrid>
        <w:gridCol w:w="4874"/>
        <w:gridCol w:w="4874"/>
      </w:tblGrid>
      <w:tr>
        <w:tc>
          <w:tcPr>
            <w:tcW w:type="dxa" w:w="829"/>
            <w:shd w:val="clear" w:color="auto" w:fill="D9D9D9"/>
          </w:tcPr>
          <w:p>
            <w:pPr>
              <w:spacing w:after="0"/>
            </w:pPr>
            <w:r/>
            <w:r>
              <w:rPr>
                <w:rFonts w:ascii="Times New Roman" w:hAnsi="Times New Roman"/>
                <w:b/>
                <w:i w:val="0"/>
                <w:sz w:val="16"/>
              </w:rPr>
              <w:t>Symbol</w:t>
            </w:r>
          </w:p>
        </w:tc>
        <w:tc>
          <w:tcPr>
            <w:tcW w:type="dxa" w:w="4067"/>
            <w:shd w:val="clear" w:color="auto" w:fill="D9D9D9"/>
          </w:tcPr>
          <w:p>
            <w:pPr>
              <w:spacing w:after="0"/>
            </w:pPr>
            <w:r/>
            <w:r>
              <w:rPr>
                <w:rFonts w:ascii="Times New Roman" w:hAnsi="Times New Roman"/>
                <w:b/>
                <w:i w:val="0"/>
                <w:sz w:val="16"/>
              </w:rPr>
              <w:t>Meaning</w:t>
            </w:r>
          </w:p>
        </w:tc>
      </w:tr>
      <w:tr>
        <w:tc>
          <w:tcPr>
            <w:tcW w:type="dxa" w:w="829"/>
          </w:tcPr>
          <w:p>
            <w:pPr>
              <w:spacing w:after="0"/>
            </w:pPr>
            <w:r/>
            <w:r>
              <w:rPr>
                <w:rFonts w:ascii="Times New Roman" w:hAnsi="Times New Roman"/>
                <w:b w:val="0"/>
                <w:i w:val="0"/>
                <w:sz w:val="16"/>
              </w:rPr>
              <w:t>s′, t0</w:t>
            </w:r>
          </w:p>
        </w:tc>
        <w:tc>
          <w:tcPr>
            <w:tcW w:type="dxa" w:w="4067"/>
          </w:tcPr>
          <w:p>
            <w:pPr>
              <w:spacing w:after="0"/>
            </w:pPr>
            <w:r/>
            <w:r>
              <w:rPr>
                <w:rFonts w:ascii="Times New Roman" w:hAnsi="Times New Roman"/>
                <w:b w:val="0"/>
                <w:i w:val="0"/>
                <w:sz w:val="16"/>
              </w:rPr>
              <w:t>s′ = s2 − t0, where t0 holds the d = 13 dropped low bits of t</w:t>
            </w:r>
          </w:p>
        </w:tc>
      </w:tr>
      <w:tr>
        <w:tc>
          <w:tcPr>
            <w:tcW w:type="dxa" w:w="829"/>
          </w:tcPr>
          <w:p>
            <w:pPr>
              <w:spacing w:after="0"/>
            </w:pPr>
            <w:r/>
            <w:r>
              <w:rPr>
                <w:rFonts w:ascii="Times New Roman" w:hAnsi="Times New Roman"/>
                <w:b w:val="0"/>
                <w:i w:val="0"/>
                <w:sz w:val="16"/>
              </w:rPr>
              <w:t>e, b</w:t>
            </w:r>
          </w:p>
        </w:tc>
        <w:tc>
          <w:tcPr>
            <w:tcW w:type="dxa" w:w="4067"/>
          </w:tcPr>
          <w:p>
            <w:pPr>
              <w:spacing w:after="0"/>
            </w:pPr>
            <w:r/>
            <w:r>
              <w:rPr>
                <w:rFonts w:ascii="Times New Roman" w:hAnsi="Times New Roman"/>
                <w:b w:val="0"/>
                <w:i w:val="0"/>
                <w:sz w:val="16"/>
              </w:rPr>
              <w:t>e = LowBits(w) rounding residue; b = −c·s′ + e one observation</w:t>
            </w:r>
          </w:p>
        </w:tc>
      </w:tr>
      <w:tr>
        <w:tc>
          <w:tcPr>
            <w:tcW w:type="dxa" w:w="829"/>
          </w:tcPr>
          <w:p>
            <w:pPr>
              <w:spacing w:after="0"/>
            </w:pPr>
            <w:r/>
            <w:r>
              <w:rPr>
                <w:rFonts w:ascii="Times New Roman" w:hAnsi="Times New Roman"/>
                <w:b w:val="0"/>
                <w:i w:val="0"/>
                <w:sz w:val="16"/>
              </w:rPr>
              <w:t>(T, N), S, C</w:t>
            </w:r>
          </w:p>
        </w:tc>
        <w:tc>
          <w:tcPr>
            <w:tcW w:type="dxa" w:w="4067"/>
          </w:tcPr>
          <w:p>
            <w:pPr>
              <w:spacing w:after="0"/>
            </w:pPr>
            <w:r/>
            <w:r>
              <w:rPr>
                <w:rFonts w:ascii="Times New Roman" w:hAnsi="Times New Roman"/>
                <w:b w:val="0"/>
                <w:i w:val="0"/>
                <w:sz w:val="16"/>
              </w:rPr>
              <w:t>Threshold, parties; signing set S, corrupted set C</w:t>
            </w:r>
          </w:p>
        </w:tc>
      </w:tr>
      <w:tr>
        <w:tc>
          <w:tcPr>
            <w:tcW w:type="dxa" w:w="829"/>
          </w:tcPr>
          <w:p>
            <w:pPr>
              <w:spacing w:after="0"/>
            </w:pPr>
            <w:r/>
            <w:r>
              <w:rPr>
                <w:rFonts w:ascii="Times New Roman" w:hAnsi="Times New Roman"/>
                <w:b w:val="0"/>
                <w:i w:val="0"/>
                <w:sz w:val="16"/>
              </w:rPr>
              <w:t>q_s, N, N*</w:t>
            </w:r>
          </w:p>
        </w:tc>
        <w:tc>
          <w:tcPr>
            <w:tcW w:type="dxa" w:w="4067"/>
          </w:tcPr>
          <w:p>
            <w:pPr>
              <w:spacing w:after="0"/>
            </w:pPr>
            <w:r/>
            <w:r>
              <w:rPr>
                <w:rFonts w:ascii="Times New Roman" w:hAnsi="Times New Roman"/>
                <w:b w:val="0"/>
                <w:i w:val="0"/>
                <w:sz w:val="16"/>
              </w:rPr>
              <w:t>Sessions observed; signatures used; N* = N giving 99% success</w:t>
            </w:r>
          </w:p>
        </w:tc>
      </w:tr>
      <w:tr>
        <w:tc>
          <w:tcPr>
            <w:tcW w:type="dxa" w:w="829"/>
          </w:tcPr>
          <w:p>
            <w:pPr>
              <w:spacing w:after="0"/>
            </w:pPr>
            <w:r/>
            <w:r>
              <w:rPr>
                <w:rFonts w:ascii="Times New Roman" w:hAnsi="Times New Roman"/>
                <w:b w:val="0"/>
                <w:i w:val="0"/>
                <w:sz w:val="16"/>
              </w:rPr>
              <w:t>cap, wall</w:t>
            </w:r>
          </w:p>
        </w:tc>
        <w:tc>
          <w:tcPr>
            <w:tcW w:type="dxa" w:w="4067"/>
          </w:tcPr>
          <w:p>
            <w:pPr>
              <w:spacing w:after="0"/>
            </w:pPr>
            <w:r/>
            <w:r>
              <w:rPr>
                <w:rFonts w:ascii="Times New Roman" w:hAnsi="Times New Roman"/>
                <w:b w:val="0"/>
                <w:i w:val="0"/>
                <w:sz w:val="16"/>
              </w:rPr>
              <w:t>TALUS per-key signature limit; authors' uniqueness wall q_uniq</w:t>
            </w:r>
          </w:p>
        </w:tc>
      </w:tr>
    </w:tbl>
    <w:p>
      <w:pPr>
        <w:spacing w:after="40"/>
      </w:pPr>
    </w:p>
    <w:p>
      <w:pPr>
        <w:jc w:val="both"/>
      </w:pPr>
      <w:r>
        <w:rPr>
          <w:rFonts w:ascii="Times New Roman" w:hAnsi="Times New Roman"/>
          <w:b w:val="0"/>
          <w:i w:val="0"/>
          <w:sz w:val="20"/>
        </w:rPr>
        <w:t>What each scheme publishes beyond the signature (c, z, h) decides which checklist items apply. Table VII gives it as confirmed by the full readings of Phase 2.</w:t>
      </w:r>
    </w:p>
    <w:p>
      <w:pPr>
        <w:keepNext/>
        <w:spacing w:after="40"/>
        <w:jc w:val="center"/>
      </w:pPr>
      <w:r>
        <w:rPr>
          <w:rFonts w:ascii="Times New Roman" w:hAnsi="Times New Roman"/>
          <w:b w:val="0"/>
          <w:i w:val="0"/>
          <w:sz w:val="16"/>
        </w:rPr>
        <w:t xml:space="preserve">TABLE VII. </w:t>
      </w:r>
      <w:r>
        <w:rPr>
          <w:rFonts w:ascii="Times New Roman" w:hAnsi="Times New Roman"/>
          <w:b w:val="0"/>
          <w:i w:val="0"/>
          <w:sz w:val="16"/>
        </w:rPr>
        <w:t>What each scheme releases (after full reading)</w:t>
      </w:r>
    </w:p>
    <w:tbl>
      <w:tblPr>
        <w:tblStyle w:val="TableGrid"/>
        <w:tblW w:type="auto" w:w="0"/>
        <w:tblLook w:firstColumn="1" w:firstRow="1" w:lastColumn="0" w:lastRow="0" w:noHBand="0" w:noVBand="1" w:val="04A0"/>
      </w:tblPr>
      <w:tblGrid>
        <w:gridCol w:w="3250"/>
        <w:gridCol w:w="3250"/>
        <w:gridCol w:w="3250"/>
      </w:tblGrid>
      <w:tr>
        <w:tc>
          <w:tcPr>
            <w:tcW w:type="dxa" w:w="801"/>
            <w:shd w:val="clear" w:color="auto" w:fill="D9D9D9"/>
          </w:tcPr>
          <w:p>
            <w:pPr>
              <w:spacing w:after="0"/>
            </w:pPr>
            <w:r/>
            <w:r>
              <w:rPr>
                <w:rFonts w:ascii="Times New Roman" w:hAnsi="Times New Roman"/>
                <w:b/>
                <w:i w:val="0"/>
                <w:sz w:val="16"/>
              </w:rPr>
              <w:t>Scheme</w:t>
            </w:r>
          </w:p>
        </w:tc>
        <w:tc>
          <w:tcPr>
            <w:tcW w:type="dxa" w:w="2225"/>
            <w:shd w:val="clear" w:color="auto" w:fill="D9D9D9"/>
          </w:tcPr>
          <w:p>
            <w:pPr>
              <w:spacing w:after="0"/>
            </w:pPr>
            <w:r/>
            <w:r>
              <w:rPr>
                <w:rFonts w:ascii="Times New Roman" w:hAnsi="Times New Roman"/>
                <w:b/>
                <w:i w:val="0"/>
                <w:sz w:val="16"/>
              </w:rPr>
              <w:t>Published beyond (c, z, h)</w:t>
            </w:r>
          </w:p>
        </w:tc>
        <w:tc>
          <w:tcPr>
            <w:tcW w:type="dxa" w:w="1869"/>
            <w:shd w:val="clear" w:color="auto" w:fill="D9D9D9"/>
          </w:tcPr>
          <w:p>
            <w:pPr>
              <w:spacing w:after="0"/>
            </w:pPr>
            <w:r/>
            <w:r>
              <w:rPr>
                <w:rFonts w:ascii="Times New Roman" w:hAnsi="Times New Roman"/>
                <w:b/>
                <w:i w:val="0"/>
                <w:sz w:val="16"/>
              </w:rPr>
              <w:t>Aborted attempts</w:t>
            </w:r>
          </w:p>
        </w:tc>
      </w:tr>
      <w:tr>
        <w:tc>
          <w:tcPr>
            <w:tcW w:type="dxa" w:w="801"/>
          </w:tcPr>
          <w:p>
            <w:pPr>
              <w:spacing w:after="0"/>
            </w:pPr>
            <w:r/>
            <w:r>
              <w:rPr>
                <w:rFonts w:ascii="Times New Roman" w:hAnsi="Times New Roman"/>
                <w:b w:val="0"/>
                <w:i w:val="0"/>
                <w:sz w:val="16"/>
              </w:rPr>
              <w:t>Mithril</w:t>
            </w:r>
          </w:p>
        </w:tc>
        <w:tc>
          <w:tcPr>
            <w:tcW w:type="dxa" w:w="2225"/>
          </w:tcPr>
          <w:p>
            <w:pPr>
              <w:spacing w:after="0"/>
            </w:pPr>
            <w:r/>
            <w:r>
              <w:rPr>
                <w:rFonts w:ascii="Times New Roman" w:hAnsi="Times New Roman"/>
                <w:b w:val="0"/>
                <w:i w:val="0"/>
                <w:sz w:val="16"/>
              </w:rPr>
              <w:t>Per-party MLWE-sample commitments w_i; round messages</w:t>
            </w:r>
          </w:p>
        </w:tc>
        <w:tc>
          <w:tcPr>
            <w:tcW w:type="dxa" w:w="1869"/>
          </w:tcPr>
          <w:p>
            <w:pPr>
              <w:spacing w:after="0"/>
            </w:pPr>
            <w:r/>
            <w:r>
              <w:rPr>
                <w:rFonts w:ascii="Times New Roman" w:hAnsi="Times New Roman"/>
                <w:b w:val="0"/>
                <w:i w:val="0"/>
                <w:sz w:val="16"/>
              </w:rPr>
              <w:t>Commitments still released; no identifiable aborts</w:t>
            </w:r>
          </w:p>
        </w:tc>
      </w:tr>
      <w:tr>
        <w:tc>
          <w:tcPr>
            <w:tcW w:type="dxa" w:w="801"/>
          </w:tcPr>
          <w:p>
            <w:pPr>
              <w:spacing w:after="0"/>
            </w:pPr>
            <w:r/>
            <w:r>
              <w:rPr>
                <w:rFonts w:ascii="Times New Roman" w:hAnsi="Times New Roman"/>
                <w:b w:val="0"/>
                <w:i w:val="0"/>
                <w:sz w:val="16"/>
              </w:rPr>
              <w:t>Quorus</w:t>
            </w:r>
          </w:p>
        </w:tc>
        <w:tc>
          <w:tcPr>
            <w:tcW w:type="dxa" w:w="2225"/>
          </w:tcPr>
          <w:p>
            <w:pPr>
              <w:spacing w:after="0"/>
            </w:pPr>
            <w:r/>
            <w:r>
              <w:rPr>
                <w:rFonts w:ascii="Times New Roman" w:hAnsi="Times New Roman"/>
                <w:b w:val="0"/>
                <w:i w:val="0"/>
                <w:sz w:val="16"/>
              </w:rPr>
              <w:t>MPC messages; w1 of every attempt</w:t>
            </w:r>
          </w:p>
        </w:tc>
        <w:tc>
          <w:tcPr>
            <w:tcW w:type="dxa" w:w="1869"/>
          </w:tcPr>
          <w:p>
            <w:pPr>
              <w:spacing w:after="0"/>
            </w:pPr>
            <w:r/>
            <w:r>
              <w:rPr>
                <w:rFonts w:ascii="Times New Roman" w:hAnsi="Times New Roman"/>
                <w:b w:val="0"/>
                <w:i w:val="0"/>
                <w:sz w:val="16"/>
              </w:rPr>
              <w:t>Releases (w1, c, ⊥); one pass/fail bit only</w:t>
            </w:r>
          </w:p>
        </w:tc>
      </w:tr>
      <w:tr>
        <w:tc>
          <w:tcPr>
            <w:tcW w:type="dxa" w:w="801"/>
          </w:tcPr>
          <w:p>
            <w:pPr>
              <w:spacing w:after="0"/>
            </w:pPr>
            <w:r/>
            <w:r>
              <w:rPr>
                <w:rFonts w:ascii="Times New Roman" w:hAnsi="Times New Roman"/>
                <w:b w:val="0"/>
                <w:i w:val="0"/>
                <w:sz w:val="16"/>
              </w:rPr>
              <w:t>Trilithium</w:t>
            </w:r>
          </w:p>
        </w:tc>
        <w:tc>
          <w:tcPr>
            <w:tcW w:type="dxa" w:w="2225"/>
          </w:tcPr>
          <w:p>
            <w:pPr>
              <w:spacing w:after="0"/>
            </w:pPr>
            <w:r/>
            <w:r>
              <w:rPr>
                <w:rFonts w:ascii="Times New Roman" w:hAnsi="Times New Roman"/>
                <w:b w:val="0"/>
                <w:i w:val="0"/>
                <w:sz w:val="16"/>
              </w:rPr>
              <w:t>Two-party MPC messages; CRP values</w:t>
            </w:r>
          </w:p>
        </w:tc>
        <w:tc>
          <w:tcPr>
            <w:tcW w:type="dxa" w:w="1869"/>
          </w:tcPr>
          <w:p>
            <w:pPr>
              <w:spacing w:after="0"/>
            </w:pPr>
            <w:r/>
            <w:r>
              <w:rPr>
                <w:rFonts w:ascii="Times New Roman" w:hAnsi="Times New Roman"/>
                <w:b w:val="0"/>
                <w:i w:val="0"/>
                <w:sz w:val="16"/>
              </w:rPr>
              <w:t>Releases w_H and one declassified bit</w:t>
            </w:r>
          </w:p>
        </w:tc>
      </w:tr>
      <w:tr>
        <w:tc>
          <w:tcPr>
            <w:tcW w:type="dxa" w:w="801"/>
          </w:tcPr>
          <w:p>
            <w:pPr>
              <w:spacing w:after="0"/>
            </w:pPr>
            <w:r/>
            <w:r>
              <w:rPr>
                <w:rFonts w:ascii="Times New Roman" w:hAnsi="Times New Roman"/>
                <w:b w:val="0"/>
                <w:i w:val="0"/>
                <w:sz w:val="16"/>
              </w:rPr>
              <w:t>TALUS v0.22</w:t>
            </w:r>
          </w:p>
        </w:tc>
        <w:tc>
          <w:tcPr>
            <w:tcW w:type="dxa" w:w="2225"/>
          </w:tcPr>
          <w:p>
            <w:pPr>
              <w:spacing w:after="0"/>
            </w:pPr>
            <w:r/>
            <w:r>
              <w:rPr>
                <w:rFonts w:ascii="Times New Roman" w:hAnsi="Times New Roman"/>
                <w:b w:val="0"/>
                <w:i w:val="0"/>
                <w:sz w:val="16"/>
              </w:rPr>
              <w:t>ZK well-formedness proofs; blame data</w:t>
            </w:r>
          </w:p>
        </w:tc>
        <w:tc>
          <w:tcPr>
            <w:tcW w:type="dxa" w:w="1869"/>
          </w:tcPr>
          <w:p>
            <w:pPr>
              <w:spacing w:after="0"/>
            </w:pPr>
            <w:r/>
            <w:r>
              <w:rPr>
                <w:rFonts w:ascii="Times New Roman" w:hAnsi="Times New Roman"/>
                <w:b w:val="0"/>
                <w:i w:val="0"/>
                <w:sz w:val="16"/>
              </w:rPr>
              <w:t>None online: nonces pre-filtered, bound to quorum</w:t>
            </w:r>
          </w:p>
        </w:tc>
      </w:tr>
    </w:tbl>
    <w:p>
      <w:pPr>
        <w:spacing w:after="40"/>
      </w:pPr>
    </w:p>
    <w:p>
      <w:pPr>
        <w:keepNext/>
        <w:spacing w:before="100" w:after="40"/>
      </w:pPr>
      <w:r>
        <w:rPr>
          <w:rFonts w:ascii="Times New Roman" w:hAnsi="Times New Roman"/>
          <w:b w:val="0"/>
          <w:i/>
          <w:sz w:val="20"/>
        </w:rPr>
        <w:t>B. Core problem P1: the TALUS signing cap</w:t>
      </w:r>
    </w:p>
    <w:p>
      <w:pPr>
        <w:jc w:val="both"/>
      </w:pPr>
      <w:r>
        <w:rPr>
          <w:rFonts w:ascii="Times New Roman" w:hAnsi="Times New Roman"/>
          <w:b/>
          <w:i w:val="0"/>
          <w:sz w:val="20"/>
        </w:rPr>
        <w:t>Intuition.</w:t>
      </w:r>
      <w:r>
        <w:rPr>
          <w:rFonts w:ascii="Times New Roman" w:hAnsi="Times New Roman"/>
          <w:b w:val="0"/>
          <w:i w:val="0"/>
          <w:sz w:val="20"/>
        </w:rPr>
        <w:t xml:space="preserve"> TALUS removes the s2 check, so each signature leaks one noisy equation in s′, and the defence is to stop before enough equations accumulate. Because BCC confines the noise e to (−γ2+β, γ2−β), the noise has hard edges: a single sample near an edge excludes many candidate secrets, so a bounded-noise estimator can need far fewer samples than least squares, whose error falls only like 1/√N. </w:t>
      </w:r>
      <w:r>
        <w:rPr>
          <w:rFonts w:ascii="Times New Roman" w:hAnsi="Times New Roman"/>
          <w:b/>
          <w:i w:val="0"/>
          <w:sz w:val="20"/>
        </w:rPr>
        <w:t>Statement.</w:t>
      </w:r>
      <w:r>
        <w:rPr>
          <w:rFonts w:ascii="Times New Roman" w:hAnsi="Times New Roman"/>
          <w:b w:val="0"/>
          <w:i w:val="0"/>
          <w:sz w:val="20"/>
        </w:rPr>
        <w:t xml:space="preserve"> Given observations b_j = −c_j·s′ + e_j with e_j confined to the BCC interval, find the number of signatures N* at which s′ is recovered (and checked against the public key) with probability 0.99, for each parameter set, and compare log2 N* with the cap and the wall. A value below the cap is a break; above it, log2 N* minus log2 cap is the margin in bits. </w:t>
      </w:r>
      <w:r>
        <w:rPr>
          <w:rFonts w:ascii="Times New Roman" w:hAnsi="Times New Roman"/>
          <w:b/>
          <w:i w:val="0"/>
          <w:sz w:val="20"/>
        </w:rPr>
        <w:t>Success criterion:</w:t>
      </w:r>
      <w:r>
        <w:rPr>
          <w:rFonts w:ascii="Times New Roman" w:hAnsi="Times New Roman"/>
          <w:b w:val="0"/>
          <w:i w:val="0"/>
          <w:sz w:val="20"/>
        </w:rPr>
        <w:t xml:space="preserve"> N* with stated trials and seeds, a positive control (estimator recovers a leaky variant) and a negative control (no false keys on genuine ML-DSA).</w:t>
      </w:r>
    </w:p>
    <w:p>
      <w:pPr>
        <w:jc w:val="both"/>
      </w:pPr>
      <w:r>
        <w:rPr>
          <w:rFonts w:ascii="Times New Roman" w:hAnsi="Times New Roman"/>
          <w:b/>
          <w:i w:val="0"/>
          <w:sz w:val="20"/>
        </w:rPr>
        <w:t>Why the cap needs measuring.</w:t>
      </w:r>
      <w:r>
        <w:rPr>
          <w:rFonts w:ascii="Times New Roman" w:hAnsi="Times New Roman"/>
          <w:b w:val="0"/>
          <w:i w:val="0"/>
          <w:sz w:val="20"/>
        </w:rPr>
        <w:t xml:space="preserve"> Because the public key already determines s2, protection below the wall is computational. The authors model a syndrome meet-in-the-middle at cost 2^{H/2} with residual entropy H ≥ 502 (about 2^160), but the only proven floor is about 2^58 at ML-DSA-65 and 2^49 at -87 (below 128 bits), and ML-DSA-44 has no public cokernel (k = ℓ). Above the wall the observations alone determine s′, so an efficient estimator that succeeds there recovers the key with no lattice work; between cap and wall, safety rests on that unproven model. Hence P1 measures N* directly. </w:t>
      </w:r>
      <w:r>
        <w:rPr>
          <w:rFonts w:ascii="Times New Roman" w:hAnsi="Times New Roman"/>
          <w:b/>
          <w:i w:val="0"/>
          <w:sz w:val="20"/>
        </w:rPr>
        <w:t>Hypothesis (stated in Phase 1):</w:t>
      </w:r>
      <w:r>
        <w:rPr>
          <w:rFonts w:ascii="Times New Roman" w:hAnsi="Times New Roman"/>
          <w:b w:val="0"/>
          <w:i w:val="0"/>
          <w:sz w:val="20"/>
        </w:rPr>
        <w:t xml:space="preserve"> bounded-noise and ILP estimators beat the least-squares estimate (1) by a wide margin.</w:t>
      </w:r>
    </w:p>
    <w:p>
      <w:pPr>
        <w:keepNext/>
        <w:spacing w:before="100" w:after="40"/>
      </w:pPr>
      <w:r>
        <w:rPr>
          <w:rFonts w:ascii="Times New Roman" w:hAnsi="Times New Roman"/>
          <w:b w:val="0"/>
          <w:i/>
          <w:sz w:val="20"/>
        </w:rPr>
        <w:t>C. Stretch goals P2–P4</w:t>
      </w:r>
    </w:p>
    <w:p>
      <w:pPr>
        <w:jc w:val="both"/>
      </w:pPr>
      <w:r>
        <w:rPr>
          <w:rFonts w:ascii="Times New Roman" w:hAnsi="Times New Roman"/>
          <w:b/>
          <w:i w:val="0"/>
          <w:sz w:val="20"/>
        </w:rPr>
        <w:t>P2 (Mithril).</w:t>
      </w:r>
      <w:r>
        <w:rPr>
          <w:rFonts w:ascii="Times New Roman" w:hAnsi="Times New Roman"/>
          <w:b w:val="0"/>
          <w:i w:val="0"/>
          <w:sz w:val="20"/>
        </w:rPr>
        <w:t xml:space="preserve"> Check the Q_s = 2^50 accounting and the a posteriori key-sharing hint loss for the exact share subset of T−1 corrupted parties. </w:t>
      </w:r>
      <w:r>
        <w:rPr>
          <w:rFonts w:ascii="Times New Roman" w:hAnsi="Times New Roman"/>
          <w:b/>
          <w:i w:val="0"/>
          <w:sz w:val="20"/>
        </w:rPr>
        <w:t>P3 (rejected attempts).</w:t>
      </w:r>
      <w:r>
        <w:rPr>
          <w:rFonts w:ascii="Times New Roman" w:hAnsi="Times New Roman"/>
          <w:b w:val="0"/>
          <w:i w:val="0"/>
          <w:sz w:val="20"/>
        </w:rPr>
        <w:t xml:space="preserve"> Test whether rejected-attempt transcripts of Quorus and Trilithium depend on s1 or s2. </w:t>
      </w:r>
      <w:r>
        <w:rPr>
          <w:rFonts w:ascii="Times New Roman" w:hAnsi="Times New Roman"/>
          <w:b/>
          <w:i w:val="0"/>
          <w:sz w:val="20"/>
        </w:rPr>
        <w:t>P4 (Kao P2).</w:t>
      </w:r>
      <w:r>
        <w:rPr>
          <w:rFonts w:ascii="Times New Roman" w:hAnsi="Times New Roman"/>
          <w:b w:val="0"/>
          <w:i w:val="0"/>
          <w:sz w:val="20"/>
        </w:rPr>
        <w:t xml:space="preserve"> Decide whether the masked commitments hide y when |S∖C| = 1, as the paper's Table 1 implies. Phase 1 hypotheses were: P2, a wall above 2^64 (a null result) with the hint loss re-derived; P3, Quorus simulatable thanks to e_w while Trilithium's assumption holds only approximately; P4, failure at |S∖C| = 1. Success criteria were a numerical bound with derivation (P2), a statistical test with stated false-positive rate and sample budget (P3), and an explicit recovery on a toy instance or a reason why the masks hide (P4).</w:t>
      </w:r>
    </w:p>
    <w:p>
      <w:pPr>
        <w:keepNext/>
        <w:spacing w:before="160" w:after="60"/>
        <w:jc w:val="center"/>
      </w:pPr>
      <w:r>
        <w:rPr>
          <w:rFonts w:ascii="Times New Roman" w:hAnsi="Times New Roman"/>
          <w:b w:val="0"/>
          <w:i w:val="0"/>
          <w:sz w:val="20"/>
        </w:rPr>
        <w:t>IV. THE LEAKAGE-TESTING HARNESS</w:t>
      </w:r>
    </w:p>
    <w:p>
      <w:pPr>
        <w:keepNext/>
        <w:spacing w:after="20"/>
        <w:jc w:val="center"/>
      </w:pPr>
      <w:r>
        <w:drawing>
          <wp:inline xmlns:a="http://schemas.openxmlformats.org/drawingml/2006/main" xmlns:pic="http://schemas.openxmlformats.org/drawingml/2006/picture">
            <wp:extent cx="2377440" cy="2829874"/>
            <wp:docPr id="1" name="Picture 1"/>
            <wp:cNvGraphicFramePr>
              <a:graphicFrameLocks noChangeAspect="1"/>
            </wp:cNvGraphicFramePr>
            <a:graphic>
              <a:graphicData uri="http://schemas.openxmlformats.org/drawingml/2006/picture">
                <pic:pic>
                  <pic:nvPicPr>
                    <pic:cNvPr id="0" name="harness_architecture.png"/>
                    <pic:cNvPicPr/>
                  </pic:nvPicPr>
                  <pic:blipFill>
                    <a:blip r:embed="rId9"/>
                    <a:stretch>
                      <a:fillRect/>
                    </a:stretch>
                  </pic:blipFill>
                  <pic:spPr>
                    <a:xfrm>
                      <a:off x="0" y="0"/>
                      <a:ext cx="2377440" cy="2829874"/>
                    </a:xfrm>
                    <a:prstGeom prst="rect"/>
                  </pic:spPr>
                </pic:pic>
              </a:graphicData>
            </a:graphic>
          </wp:inline>
        </w:drawing>
      </w:r>
    </w:p>
    <w:p>
      <w:pPr>
        <w:spacing w:after="100"/>
        <w:jc w:val="both"/>
      </w:pPr>
      <w:r>
        <w:rPr>
          <w:rFonts w:ascii="Times New Roman" w:hAnsi="Times New Roman"/>
          <w:b w:val="0"/>
          <w:i w:val="0"/>
          <w:sz w:val="16"/>
        </w:rPr>
        <w:t xml:space="preserve">Fig. 1. </w:t>
      </w:r>
      <w:r>
        <w:rPr>
          <w:rFonts w:ascii="Times New Roman" w:hAnsi="Times New Roman"/>
          <w:b w:val="0"/>
          <w:i w:val="0"/>
          <w:sz w:val="16"/>
        </w:rPr>
        <w:t>Harness architecture. Our ML-DSA core produces every signing attempt with its secret internals; a scheme view keeps only what that scheme releases (secrets stop there); an adapter turns the observations into pairs (c, b); the estimators never see the secret, and the experiments score them against ground truth.</w:t>
      </w:r>
    </w:p>
    <w:p>
      <w:pPr>
        <w:jc w:val="both"/>
      </w:pPr>
      <w:r>
        <w:rPr>
          <w:rFonts w:ascii="Times New Roman" w:hAnsi="Times New Roman"/>
          <w:b/>
          <w:i w:val="0"/>
          <w:sz w:val="20"/>
        </w:rPr>
        <w:t>Design (Fig. 1).</w:t>
      </w:r>
      <w:r>
        <w:rPr>
          <w:rFonts w:ascii="Times New Roman" w:hAnsi="Times New Roman"/>
          <w:b w:val="0"/>
          <w:i w:val="0"/>
          <w:sz w:val="20"/>
        </w:rPr>
        <w:t xml:space="preserve"> (1) </w:t>
      </w:r>
      <w:r>
        <w:rPr>
          <w:rFonts w:ascii="Times New Roman" w:hAnsi="Times New Roman"/>
          <w:b/>
          <w:i w:val="0"/>
          <w:sz w:val="20"/>
        </w:rPr>
        <w:t>ML-DSA core</w:t>
      </w:r>
      <w:r>
        <w:rPr>
          <w:rFonts w:ascii="Times New Roman" w:hAnsi="Times New Roman"/>
          <w:b w:val="0"/>
          <w:i w:val="0"/>
          <w:sz w:val="20"/>
        </w:rPr>
        <w:t xml:space="preserve"> (harness/mldsa): NTT, SHAKE sampling, hints and sign/verify that keeps every attempt; it matches the dilithium-py implementation byte for byte and passes 81 official NIST ACVP vectors (key generation, signing, verification) for all three parameter sets. (2) </w:t>
      </w:r>
      <w:r>
        <w:rPr>
          <w:rFonts w:ascii="Times New Roman" w:hAnsi="Times New Roman"/>
          <w:b/>
          <w:i w:val="0"/>
          <w:sz w:val="20"/>
        </w:rPr>
        <w:t>Scheme views</w:t>
      </w:r>
      <w:r>
        <w:rPr>
          <w:rFonts w:ascii="Times New Roman" w:hAnsi="Times New Roman"/>
          <w:b w:val="0"/>
          <w:i w:val="0"/>
          <w:sz w:val="20"/>
        </w:rPr>
        <w:t xml:space="preserve">: plain ML-DSA (negative control), a y-leaking variant (positive control), TALUS-BCC, TALUS v0.1 and Mithril, plus stand-alone Quorus, Trilithium and Kao simulators. (3) </w:t>
      </w:r>
      <w:r>
        <w:rPr>
          <w:rFonts w:ascii="Times New Roman" w:hAnsi="Times New Roman"/>
          <w:b/>
          <w:i w:val="0"/>
          <w:sz w:val="20"/>
        </w:rPr>
        <w:t>Estimators</w:t>
      </w:r>
      <w:r>
        <w:rPr>
          <w:rFonts w:ascii="Times New Roman" w:hAnsi="Times New Roman"/>
          <w:b w:val="0"/>
          <w:i w:val="0"/>
          <w:sz w:val="20"/>
        </w:rPr>
        <w:t>: least squares; a bounded-noise “edge” estimator, posed as a Chebyshev linear program (minimise the largest residual |b + c·s′|) and solved on CPU or GPU; an ILP finishing step that searches for an integer s′ consistent with every bound; and theory curves (Fisher information and Cramér–Rao bounds). Every recovery is checked against ground truth, and every run is seeded and logged.</w:t>
      </w:r>
    </w:p>
    <w:p>
      <w:pPr>
        <w:jc w:val="both"/>
      </w:pPr>
      <w:r>
        <w:rPr>
          <w:rFonts w:ascii="Times New Roman" w:hAnsi="Times New Roman"/>
          <w:b/>
          <w:i w:val="0"/>
          <w:sz w:val="20"/>
        </w:rPr>
        <w:t>Estimators, with intuition.</w:t>
      </w:r>
      <w:r>
        <w:rPr>
          <w:rFonts w:ascii="Times New Roman" w:hAnsi="Times New Roman"/>
          <w:b w:val="0"/>
          <w:i w:val="0"/>
          <w:sz w:val="20"/>
        </w:rPr>
        <w:t xml:space="preserve"> Least squares averages: stacking N samples (c, b) gives an overdetermined integer system whose solution has per-coefficient error variance about σ_e²/(Nτ), so error falls like 1/√N. Bounded noise uses the edges: if every |e| is at most a known bound, each sample is a pair of linear inequalities |b + c·s′| ≤ bound, and the feasible region (a polytope) shrinks roughly like 1/N rather than 1/√N; the Chebyshev LP finds its centre and rounding gives s′. ILP finishing replaces that rounding by an integer search inside the polytope, in the manner of [18], which helps when a few coefficients sit near a rounding boundary. Fisher information I per signature sets the Cramér–Rao bound on any unbiased estimator's variance; key recovery then needs on the order of 4/(I·τ) signatures [10]. Robust regression (Huber, Cauchy [19]) and lattice-estimator hint accounting are kept for schemes where only a fraction of samples leak or where corrupted parties hold partial information.</w:t>
      </w:r>
    </w:p>
    <w:p>
      <w:pPr>
        <w:jc w:val="both"/>
      </w:pPr>
      <w:r>
        <w:rPr>
          <w:rFonts w:ascii="Times New Roman" w:hAnsi="Times New Roman"/>
          <w:b/>
          <w:i w:val="0"/>
          <w:sz w:val="20"/>
        </w:rPr>
        <w:t>A view in action (TALUS).</w:t>
      </w:r>
      <w:r>
        <w:rPr>
          <w:rFonts w:ascii="Times New Roman" w:hAnsi="Times New Roman"/>
          <w:b w:val="0"/>
          <w:i w:val="0"/>
          <w:sz w:val="20"/>
        </w:rPr>
        <w:t xml:space="preserve"> For each signing attempt the core records y, w, c, z and which check failed. The TALUS view (1) keeps only attempts whose nonce satisfies BCC, as the offline filter would; (2) drops the secret fields; (3) emits what an observer can compute, v = A·z − c·t1·2^d and the hint, together with c; the adapter then forms b = −c·s′ + e. A corrupted-coalition variant would add the corrupted parties' shares, and for schemes with aborts the view emits exactly the fields the specification says are revealed for a rejected attempt, no more. Because the estimator receives only the view's output, any key it recovers was recoverable from public data.</w:t>
      </w:r>
    </w:p>
    <w:p>
      <w:pPr>
        <w:jc w:val="both"/>
      </w:pPr>
      <w:r>
        <w:rPr>
          <w:rFonts w:ascii="Times New Roman" w:hAnsi="Times New Roman"/>
          <w:b/>
          <w:i w:val="0"/>
          <w:sz w:val="20"/>
        </w:rPr>
        <w:t>Implementation.</w:t>
      </w:r>
      <w:r>
        <w:rPr>
          <w:rFonts w:ascii="Times New Roman" w:hAnsi="Times New Roman"/>
          <w:b w:val="0"/>
          <w:i w:val="0"/>
          <w:sz w:val="20"/>
        </w:rPr>
        <w:t xml:space="preserve"> Python with numpy and scipy; the linear programs use the HiGHS solver; the ring products inside the edge estimator, about 90% of its run time, run on an NVIDIA GPU with PyTorch in double precision, about 3× faster than the CPU version and checked against it. Least squares is solved exactly in one pass: after an FFT the equations for each frequency are independent, so each frequency is a single division (agreeing with an iterative solver to 10^-13). Transcripts for several trials are built in parallel processes while the GPU solves.</w:t>
      </w:r>
    </w:p>
    <w:p>
      <w:pPr>
        <w:jc w:val="both"/>
      </w:pPr>
      <w:r>
        <w:rPr>
          <w:rFonts w:ascii="Times New Roman" w:hAnsi="Times New Roman"/>
          <w:b/>
          <w:i w:val="0"/>
          <w:sz w:val="20"/>
        </w:rPr>
        <w:t>Evaluation and validity.</w:t>
      </w:r>
      <w:r>
        <w:rPr>
          <w:rFonts w:ascii="Times New Roman" w:hAnsi="Times New Roman"/>
          <w:b w:val="0"/>
          <w:i w:val="0"/>
          <w:sz w:val="20"/>
        </w:rPr>
        <w:t xml:space="preserve"> Every experiment reports signatures used, recovered fraction, cost and parameter set. N* is the smallest N with success ≥ 0.99 over the stated trials (interpolated between grid points). Recovery is verified against ground truth, so partial correlations are never counted as breaks. Internal threats (primitive bugs, estimator over-fitting) are addressed by the ACVP vectors and by many random keys; external threats (our simulator differing from the real protocol, parameters changing before the packages) remain and are why every TALUS number is labelled as model-based; a negative result is phrased only as a bound on what was tried.</w:t>
      </w:r>
    </w:p>
    <w:p>
      <w:pPr>
        <w:jc w:val="both"/>
      </w:pPr>
      <w:r>
        <w:rPr>
          <w:rFonts w:ascii="Times New Roman" w:hAnsi="Times New Roman"/>
          <w:b/>
          <w:i w:val="0"/>
          <w:sz w:val="20"/>
        </w:rPr>
        <w:t>End-to-end check (gate B).</w:t>
      </w:r>
      <w:r>
        <w:rPr>
          <w:rFonts w:ascii="Times New Roman" w:hAnsi="Times New Roman"/>
          <w:b w:val="0"/>
          <w:i w:val="0"/>
          <w:sz w:val="20"/>
        </w:rPr>
        <w:t xml:space="preserve"> Real ML-DSA-44 attempts passed through the TALUS view and the unchanged estimator recovered s′ for 2/2 keys at N = 2×10^5 and 4×10^5 accepted signatures and 0/2 at 10^5 (seed 2029), consistent with N* in Table IX.</w:t>
      </w:r>
    </w:p>
    <w:p>
      <w:pPr>
        <w:jc w:val="both"/>
      </w:pPr>
      <w:r>
        <w:rPr>
          <w:rFonts w:ascii="Times New Roman" w:hAnsi="Times New Roman"/>
          <w:b/>
          <w:i w:val="0"/>
          <w:sz w:val="20"/>
        </w:rPr>
        <w:t>Least-squares calibration (Fig. 2).</w:t>
      </w:r>
      <w:r>
        <w:rPr>
          <w:rFonts w:ascii="Times New Roman" w:hAnsi="Times New Roman"/>
          <w:b w:val="0"/>
          <w:i w:val="0"/>
          <w:sz w:val="20"/>
        </w:rPr>
        <w:t xml:space="preserve"> To validate the simulator and the error law behind (1) we measured the least-squares error on ML-DSA-44, n = 256 (one ring element), plain LowBits noise, N ∈ {10^3, 3·10^3, 10^4, 3·10^4, 10^5, 3·10^5}, 10 trials per N, seed 2033 (generator default_rng([2033, N, trial])). The mean RMS error stays within 2% of γ2/√(3τN) at every N. Real TALUS v0.1 signatures (keys from seeds 101–103) fall on the same curve. Extrapolating, rounding every coefficient needs on the order of 10^9 signatures, so least squares alone is far from the cap; the bounded-noise estimator is what matters for P1.</w:t>
      </w:r>
    </w:p>
    <w:p>
      <w:pPr>
        <w:keepNext/>
        <w:spacing w:after="20"/>
        <w:jc w:val="center"/>
      </w:pPr>
      <w:r>
        <w:drawing>
          <wp:inline xmlns:a="http://schemas.openxmlformats.org/drawingml/2006/main" xmlns:pic="http://schemas.openxmlformats.org/drawingml/2006/picture">
            <wp:extent cx="2926080" cy="2090057"/>
            <wp:docPr id="2" name="Picture 2"/>
            <wp:cNvGraphicFramePr>
              <a:graphicFrameLocks noChangeAspect="1"/>
            </wp:cNvGraphicFramePr>
            <a:graphic>
              <a:graphicData uri="http://schemas.openxmlformats.org/drawingml/2006/picture">
                <pic:pic>
                  <pic:nvPicPr>
                    <pic:cNvPr id="0" name="ls_error_vs_N.png"/>
                    <pic:cNvPicPr/>
                  </pic:nvPicPr>
                  <pic:blipFill>
                    <a:blip r:embed="rId10"/>
                    <a:stretch>
                      <a:fillRect/>
                    </a:stretch>
                  </pic:blipFill>
                  <pic:spPr>
                    <a:xfrm>
                      <a:off x="0" y="0"/>
                      <a:ext cx="2926080" cy="2090057"/>
                    </a:xfrm>
                    <a:prstGeom prst="rect"/>
                  </pic:spPr>
                </pic:pic>
              </a:graphicData>
            </a:graphic>
          </wp:inline>
        </w:drawing>
      </w:r>
    </w:p>
    <w:p>
      <w:pPr>
        <w:spacing w:after="100"/>
        <w:jc w:val="both"/>
      </w:pPr>
      <w:r>
        <w:rPr>
          <w:rFonts w:ascii="Times New Roman" w:hAnsi="Times New Roman"/>
          <w:b w:val="0"/>
          <w:i w:val="0"/>
          <w:sz w:val="16"/>
        </w:rPr>
        <w:t xml:space="preserve">Fig. 2. </w:t>
      </w:r>
      <w:r>
        <w:rPr>
          <w:rFonts w:ascii="Times New Roman" w:hAnsi="Times New Roman"/>
          <w:b w:val="0"/>
          <w:i w:val="0"/>
          <w:sz w:val="16"/>
        </w:rPr>
        <w:t>Least-squares RMS error per coefficient against signatures N (ML-DSA-44, n = 256). Blue: synthetic channel, mean and min–max over 10 trials (seed 2033); orange: real TALUS v0.1 signatures (seeds 101–103); dashed: theory γ2/√(3τN).</w:t>
      </w:r>
    </w:p>
    <w:p>
      <w:pPr>
        <w:keepNext/>
        <w:spacing w:after="40"/>
        <w:jc w:val="center"/>
      </w:pPr>
      <w:r>
        <w:rPr>
          <w:rFonts w:ascii="Times New Roman" w:hAnsi="Times New Roman"/>
          <w:b w:val="0"/>
          <w:i w:val="0"/>
          <w:sz w:val="16"/>
        </w:rPr>
        <w:t xml:space="preserve">TABLE VIII. </w:t>
      </w:r>
      <w:r>
        <w:rPr>
          <w:rFonts w:ascii="Times New Roman" w:hAnsi="Times New Roman"/>
          <w:b w:val="0"/>
          <w:i w:val="0"/>
          <w:sz w:val="16"/>
        </w:rPr>
        <w:t>Least-squares error, ML-DSA-44, 10 trials per N, seed 2033</w:t>
      </w:r>
    </w:p>
    <w:tbl>
      <w:tblPr>
        <w:tblStyle w:val="TableGrid"/>
        <w:tblW w:type="auto" w:w="0"/>
        <w:tblLook w:firstColumn="1" w:firstRow="1" w:lastColumn="0" w:lastRow="0" w:noHBand="0" w:noVBand="1" w:val="04A0"/>
      </w:tblPr>
      <w:tblGrid>
        <w:gridCol w:w="2437"/>
        <w:gridCol w:w="2437"/>
        <w:gridCol w:w="2437"/>
        <w:gridCol w:w="2437"/>
      </w:tblGrid>
      <w:tr>
        <w:tc>
          <w:tcPr>
            <w:tcW w:type="dxa" w:w="1001"/>
            <w:shd w:val="clear" w:color="auto" w:fill="D9D9D9"/>
          </w:tcPr>
          <w:p>
            <w:pPr>
              <w:spacing w:after="0"/>
            </w:pPr>
            <w:r/>
            <w:r>
              <w:rPr>
                <w:rFonts w:ascii="Times New Roman" w:hAnsi="Times New Roman"/>
                <w:b/>
                <w:i w:val="0"/>
                <w:sz w:val="16"/>
              </w:rPr>
              <w:t>N</w:t>
            </w:r>
          </w:p>
        </w:tc>
        <w:tc>
          <w:tcPr>
            <w:tcW w:type="dxa" w:w="2225"/>
            <w:shd w:val="clear" w:color="auto" w:fill="D9D9D9"/>
          </w:tcPr>
          <w:p>
            <w:pPr>
              <w:spacing w:after="0"/>
            </w:pPr>
            <w:r/>
            <w:r>
              <w:rPr>
                <w:rFonts w:ascii="Times New Roman" w:hAnsi="Times New Roman"/>
                <w:b/>
                <w:i w:val="0"/>
                <w:sz w:val="16"/>
              </w:rPr>
              <w:t>Measured RMS (min–max)</w:t>
            </w:r>
          </w:p>
        </w:tc>
        <w:tc>
          <w:tcPr>
            <w:tcW w:type="dxa" w:w="890"/>
            <w:shd w:val="clear" w:color="auto" w:fill="D9D9D9"/>
          </w:tcPr>
          <w:p>
            <w:pPr>
              <w:spacing w:after="0"/>
            </w:pPr>
            <w:r/>
            <w:r>
              <w:rPr>
                <w:rFonts w:ascii="Times New Roman" w:hAnsi="Times New Roman"/>
                <w:b/>
                <w:i w:val="0"/>
                <w:sz w:val="16"/>
              </w:rPr>
              <w:t>Theory</w:t>
            </w:r>
          </w:p>
        </w:tc>
        <w:tc>
          <w:tcPr>
            <w:tcW w:type="dxa" w:w="779"/>
            <w:shd w:val="clear" w:color="auto" w:fill="D9D9D9"/>
          </w:tcPr>
          <w:p>
            <w:pPr>
              <w:spacing w:after="0"/>
            </w:pPr>
            <w:r/>
            <w:r>
              <w:rPr>
                <w:rFonts w:ascii="Times New Roman" w:hAnsi="Times New Roman"/>
                <w:b/>
                <w:i w:val="0"/>
                <w:sz w:val="16"/>
              </w:rPr>
              <w:t>Ratio</w:t>
            </w:r>
          </w:p>
        </w:tc>
      </w:tr>
      <w:tr>
        <w:tc>
          <w:tcPr>
            <w:tcW w:type="dxa" w:w="1001"/>
          </w:tcPr>
          <w:p>
            <w:pPr>
              <w:spacing w:after="0"/>
            </w:pPr>
            <w:r/>
            <w:r>
              <w:rPr>
                <w:rFonts w:ascii="Times New Roman" w:hAnsi="Times New Roman"/>
                <w:b w:val="0"/>
                <w:i w:val="0"/>
                <w:sz w:val="16"/>
              </w:rPr>
              <w:t>1,000</w:t>
            </w:r>
          </w:p>
        </w:tc>
        <w:tc>
          <w:tcPr>
            <w:tcW w:type="dxa" w:w="2225"/>
          </w:tcPr>
          <w:p>
            <w:pPr>
              <w:spacing w:after="0"/>
            </w:pPr>
            <w:r/>
            <w:r>
              <w:rPr>
                <w:rFonts w:ascii="Times New Roman" w:hAnsi="Times New Roman"/>
                <w:b w:val="0"/>
                <w:i w:val="0"/>
                <w:sz w:val="16"/>
              </w:rPr>
              <w:t>280.5 (267.2–302.3)</w:t>
            </w:r>
          </w:p>
        </w:tc>
        <w:tc>
          <w:tcPr>
            <w:tcW w:type="dxa" w:w="890"/>
          </w:tcPr>
          <w:p>
            <w:pPr>
              <w:spacing w:after="0"/>
            </w:pPr>
            <w:r/>
            <w:r>
              <w:rPr>
                <w:rFonts w:ascii="Times New Roman" w:hAnsi="Times New Roman"/>
                <w:b w:val="0"/>
                <w:i w:val="0"/>
                <w:sz w:val="16"/>
              </w:rPr>
              <w:t>278.4</w:t>
            </w:r>
          </w:p>
        </w:tc>
        <w:tc>
          <w:tcPr>
            <w:tcW w:type="dxa" w:w="779"/>
          </w:tcPr>
          <w:p>
            <w:pPr>
              <w:spacing w:after="0"/>
            </w:pPr>
            <w:r/>
            <w:r>
              <w:rPr>
                <w:rFonts w:ascii="Times New Roman" w:hAnsi="Times New Roman"/>
                <w:b w:val="0"/>
                <w:i w:val="0"/>
                <w:sz w:val="16"/>
              </w:rPr>
              <w:t>1.008</w:t>
            </w:r>
          </w:p>
        </w:tc>
      </w:tr>
      <w:tr>
        <w:tc>
          <w:tcPr>
            <w:tcW w:type="dxa" w:w="1001"/>
          </w:tcPr>
          <w:p>
            <w:pPr>
              <w:spacing w:after="0"/>
            </w:pPr>
            <w:r/>
            <w:r>
              <w:rPr>
                <w:rFonts w:ascii="Times New Roman" w:hAnsi="Times New Roman"/>
                <w:b w:val="0"/>
                <w:i w:val="0"/>
                <w:sz w:val="16"/>
              </w:rPr>
              <w:t>3,000</w:t>
            </w:r>
          </w:p>
        </w:tc>
        <w:tc>
          <w:tcPr>
            <w:tcW w:type="dxa" w:w="2225"/>
          </w:tcPr>
          <w:p>
            <w:pPr>
              <w:spacing w:after="0"/>
            </w:pPr>
            <w:r/>
            <w:r>
              <w:rPr>
                <w:rFonts w:ascii="Times New Roman" w:hAnsi="Times New Roman"/>
                <w:b w:val="0"/>
                <w:i w:val="0"/>
                <w:sz w:val="16"/>
              </w:rPr>
              <w:t>159.2 (143.7–171.1)</w:t>
            </w:r>
          </w:p>
        </w:tc>
        <w:tc>
          <w:tcPr>
            <w:tcW w:type="dxa" w:w="890"/>
          </w:tcPr>
          <w:p>
            <w:pPr>
              <w:spacing w:after="0"/>
            </w:pPr>
            <w:r/>
            <w:r>
              <w:rPr>
                <w:rFonts w:ascii="Times New Roman" w:hAnsi="Times New Roman"/>
                <w:b w:val="0"/>
                <w:i w:val="0"/>
                <w:sz w:val="16"/>
              </w:rPr>
              <w:t>160.7</w:t>
            </w:r>
          </w:p>
        </w:tc>
        <w:tc>
          <w:tcPr>
            <w:tcW w:type="dxa" w:w="779"/>
          </w:tcPr>
          <w:p>
            <w:pPr>
              <w:spacing w:after="0"/>
            </w:pPr>
            <w:r/>
            <w:r>
              <w:rPr>
                <w:rFonts w:ascii="Times New Roman" w:hAnsi="Times New Roman"/>
                <w:b w:val="0"/>
                <w:i w:val="0"/>
                <w:sz w:val="16"/>
              </w:rPr>
              <w:t>0.990</w:t>
            </w:r>
          </w:p>
        </w:tc>
      </w:tr>
      <w:tr>
        <w:tc>
          <w:tcPr>
            <w:tcW w:type="dxa" w:w="1001"/>
          </w:tcPr>
          <w:p>
            <w:pPr>
              <w:spacing w:after="0"/>
            </w:pPr>
            <w:r/>
            <w:r>
              <w:rPr>
                <w:rFonts w:ascii="Times New Roman" w:hAnsi="Times New Roman"/>
                <w:b w:val="0"/>
                <w:i w:val="0"/>
                <w:sz w:val="16"/>
              </w:rPr>
              <w:t>10,000</w:t>
            </w:r>
          </w:p>
        </w:tc>
        <w:tc>
          <w:tcPr>
            <w:tcW w:type="dxa" w:w="2225"/>
          </w:tcPr>
          <w:p>
            <w:pPr>
              <w:spacing w:after="0"/>
            </w:pPr>
            <w:r/>
            <w:r>
              <w:rPr>
                <w:rFonts w:ascii="Times New Roman" w:hAnsi="Times New Roman"/>
                <w:b w:val="0"/>
                <w:i w:val="0"/>
                <w:sz w:val="16"/>
              </w:rPr>
              <w:t>86.7 (81.6–94.0)</w:t>
            </w:r>
          </w:p>
        </w:tc>
        <w:tc>
          <w:tcPr>
            <w:tcW w:type="dxa" w:w="890"/>
          </w:tcPr>
          <w:p>
            <w:pPr>
              <w:spacing w:after="0"/>
            </w:pPr>
            <w:r/>
            <w:r>
              <w:rPr>
                <w:rFonts w:ascii="Times New Roman" w:hAnsi="Times New Roman"/>
                <w:b w:val="0"/>
                <w:i w:val="0"/>
                <w:sz w:val="16"/>
              </w:rPr>
              <w:t>88.0</w:t>
            </w:r>
          </w:p>
        </w:tc>
        <w:tc>
          <w:tcPr>
            <w:tcW w:type="dxa" w:w="779"/>
          </w:tcPr>
          <w:p>
            <w:pPr>
              <w:spacing w:after="0"/>
            </w:pPr>
            <w:r/>
            <w:r>
              <w:rPr>
                <w:rFonts w:ascii="Times New Roman" w:hAnsi="Times New Roman"/>
                <w:b w:val="0"/>
                <w:i w:val="0"/>
                <w:sz w:val="16"/>
              </w:rPr>
              <w:t>0.984</w:t>
            </w:r>
          </w:p>
        </w:tc>
      </w:tr>
      <w:tr>
        <w:tc>
          <w:tcPr>
            <w:tcW w:type="dxa" w:w="1001"/>
          </w:tcPr>
          <w:p>
            <w:pPr>
              <w:spacing w:after="0"/>
            </w:pPr>
            <w:r/>
            <w:r>
              <w:rPr>
                <w:rFonts w:ascii="Times New Roman" w:hAnsi="Times New Roman"/>
                <w:b w:val="0"/>
                <w:i w:val="0"/>
                <w:sz w:val="16"/>
              </w:rPr>
              <w:t>30,000</w:t>
            </w:r>
          </w:p>
        </w:tc>
        <w:tc>
          <w:tcPr>
            <w:tcW w:type="dxa" w:w="2225"/>
          </w:tcPr>
          <w:p>
            <w:pPr>
              <w:spacing w:after="0"/>
            </w:pPr>
            <w:r/>
            <w:r>
              <w:rPr>
                <w:rFonts w:ascii="Times New Roman" w:hAnsi="Times New Roman"/>
                <w:b w:val="0"/>
                <w:i w:val="0"/>
                <w:sz w:val="16"/>
              </w:rPr>
              <w:t>49.8 (47.2–51.9)</w:t>
            </w:r>
          </w:p>
        </w:tc>
        <w:tc>
          <w:tcPr>
            <w:tcW w:type="dxa" w:w="890"/>
          </w:tcPr>
          <w:p>
            <w:pPr>
              <w:spacing w:after="0"/>
            </w:pPr>
            <w:r/>
            <w:r>
              <w:rPr>
                <w:rFonts w:ascii="Times New Roman" w:hAnsi="Times New Roman"/>
                <w:b w:val="0"/>
                <w:i w:val="0"/>
                <w:sz w:val="16"/>
              </w:rPr>
              <w:t>50.8</w:t>
            </w:r>
          </w:p>
        </w:tc>
        <w:tc>
          <w:tcPr>
            <w:tcW w:type="dxa" w:w="779"/>
          </w:tcPr>
          <w:p>
            <w:pPr>
              <w:spacing w:after="0"/>
            </w:pPr>
            <w:r/>
            <w:r>
              <w:rPr>
                <w:rFonts w:ascii="Times New Roman" w:hAnsi="Times New Roman"/>
                <w:b w:val="0"/>
                <w:i w:val="0"/>
                <w:sz w:val="16"/>
              </w:rPr>
              <w:t>0.979</w:t>
            </w:r>
          </w:p>
        </w:tc>
      </w:tr>
      <w:tr>
        <w:tc>
          <w:tcPr>
            <w:tcW w:type="dxa" w:w="1001"/>
          </w:tcPr>
          <w:p>
            <w:pPr>
              <w:spacing w:after="0"/>
            </w:pPr>
            <w:r/>
            <w:r>
              <w:rPr>
                <w:rFonts w:ascii="Times New Roman" w:hAnsi="Times New Roman"/>
                <w:b w:val="0"/>
                <w:i w:val="0"/>
                <w:sz w:val="16"/>
              </w:rPr>
              <w:t>100,000</w:t>
            </w:r>
          </w:p>
        </w:tc>
        <w:tc>
          <w:tcPr>
            <w:tcW w:type="dxa" w:w="2225"/>
          </w:tcPr>
          <w:p>
            <w:pPr>
              <w:spacing w:after="0"/>
            </w:pPr>
            <w:r/>
            <w:r>
              <w:rPr>
                <w:rFonts w:ascii="Times New Roman" w:hAnsi="Times New Roman"/>
                <w:b w:val="0"/>
                <w:i w:val="0"/>
                <w:sz w:val="16"/>
              </w:rPr>
              <w:t>28.0 (26.0–29.9)</w:t>
            </w:r>
          </w:p>
        </w:tc>
        <w:tc>
          <w:tcPr>
            <w:tcW w:type="dxa" w:w="890"/>
          </w:tcPr>
          <w:p>
            <w:pPr>
              <w:spacing w:after="0"/>
            </w:pPr>
            <w:r/>
            <w:r>
              <w:rPr>
                <w:rFonts w:ascii="Times New Roman" w:hAnsi="Times New Roman"/>
                <w:b w:val="0"/>
                <w:i w:val="0"/>
                <w:sz w:val="16"/>
              </w:rPr>
              <w:t>27.8</w:t>
            </w:r>
          </w:p>
        </w:tc>
        <w:tc>
          <w:tcPr>
            <w:tcW w:type="dxa" w:w="779"/>
          </w:tcPr>
          <w:p>
            <w:pPr>
              <w:spacing w:after="0"/>
            </w:pPr>
            <w:r/>
            <w:r>
              <w:rPr>
                <w:rFonts w:ascii="Times New Roman" w:hAnsi="Times New Roman"/>
                <w:b w:val="0"/>
                <w:i w:val="0"/>
                <w:sz w:val="16"/>
              </w:rPr>
              <w:t>1.004</w:t>
            </w:r>
          </w:p>
        </w:tc>
      </w:tr>
      <w:tr>
        <w:tc>
          <w:tcPr>
            <w:tcW w:type="dxa" w:w="1001"/>
          </w:tcPr>
          <w:p>
            <w:pPr>
              <w:spacing w:after="0"/>
            </w:pPr>
            <w:r/>
            <w:r>
              <w:rPr>
                <w:rFonts w:ascii="Times New Roman" w:hAnsi="Times New Roman"/>
                <w:b w:val="0"/>
                <w:i w:val="0"/>
                <w:sz w:val="16"/>
              </w:rPr>
              <w:t>300,000</w:t>
            </w:r>
          </w:p>
        </w:tc>
        <w:tc>
          <w:tcPr>
            <w:tcW w:type="dxa" w:w="2225"/>
          </w:tcPr>
          <w:p>
            <w:pPr>
              <w:spacing w:after="0"/>
            </w:pPr>
            <w:r/>
            <w:r>
              <w:rPr>
                <w:rFonts w:ascii="Times New Roman" w:hAnsi="Times New Roman"/>
                <w:b w:val="0"/>
                <w:i w:val="0"/>
                <w:sz w:val="16"/>
              </w:rPr>
              <w:t>16.2 (15.1–17.3)</w:t>
            </w:r>
          </w:p>
        </w:tc>
        <w:tc>
          <w:tcPr>
            <w:tcW w:type="dxa" w:w="890"/>
          </w:tcPr>
          <w:p>
            <w:pPr>
              <w:spacing w:after="0"/>
            </w:pPr>
            <w:r/>
            <w:r>
              <w:rPr>
                <w:rFonts w:ascii="Times New Roman" w:hAnsi="Times New Roman"/>
                <w:b w:val="0"/>
                <w:i w:val="0"/>
                <w:sz w:val="16"/>
              </w:rPr>
              <w:t>16.1</w:t>
            </w:r>
          </w:p>
        </w:tc>
        <w:tc>
          <w:tcPr>
            <w:tcW w:type="dxa" w:w="779"/>
          </w:tcPr>
          <w:p>
            <w:pPr>
              <w:spacing w:after="0"/>
            </w:pPr>
            <w:r/>
            <w:r>
              <w:rPr>
                <w:rFonts w:ascii="Times New Roman" w:hAnsi="Times New Roman"/>
                <w:b w:val="0"/>
                <w:i w:val="0"/>
                <w:sz w:val="16"/>
              </w:rPr>
              <w:t>1.007</w:t>
            </w:r>
          </w:p>
        </w:tc>
      </w:tr>
    </w:tbl>
    <w:p>
      <w:pPr>
        <w:spacing w:after="40"/>
      </w:pPr>
    </w:p>
    <w:p>
      <w:pPr>
        <w:jc w:val="both"/>
      </w:pPr>
      <w:r>
        <w:rPr>
          <w:rFonts w:ascii="Times New Roman" w:hAnsi="Times New Roman"/>
          <w:b/>
          <w:i w:val="0"/>
          <w:sz w:val="20"/>
        </w:rPr>
        <w:t>Reading Fig. 2.</w:t>
      </w:r>
      <w:r>
        <w:rPr>
          <w:rFonts w:ascii="Times New Roman" w:hAnsi="Times New Roman"/>
          <w:b w:val="0"/>
          <w:i w:val="0"/>
          <w:sz w:val="20"/>
        </w:rPr>
        <w:t xml:space="preserve"> The slope −1/2 on the log–log plot is the 1/√N law; the ratio column shows no drift with N, so the Gaussian approximation of uniform LowBits noise is accurate here. An RMS error of 16 at 3×10^5 signatures is still 32 times the 1/2 needed for rounding, which is why least squares never recovered a key in any of our TALUS runs.</w:t>
      </w:r>
    </w:p>
    <w:p>
      <w:pPr>
        <w:keepNext/>
        <w:spacing w:before="160" w:after="60"/>
        <w:jc w:val="center"/>
      </w:pPr>
      <w:r>
        <w:rPr>
          <w:rFonts w:ascii="Times New Roman" w:hAnsi="Times New Roman"/>
          <w:b w:val="0"/>
          <w:i w:val="0"/>
          <w:sz w:val="20"/>
        </w:rPr>
        <w:t>V. PHASE 2 RESULTS</w:t>
      </w:r>
    </w:p>
    <w:p>
      <w:pPr>
        <w:keepNext/>
        <w:spacing w:before="100" w:after="40"/>
      </w:pPr>
      <w:r>
        <w:rPr>
          <w:rFonts w:ascii="Times New Roman" w:hAnsi="Times New Roman"/>
          <w:b w:val="0"/>
          <w:i/>
          <w:sz w:val="20"/>
        </w:rPr>
        <w:t>A. P1: margin of the TALUS cap (core result)</w:t>
      </w:r>
    </w:p>
    <w:p>
      <w:pPr>
        <w:jc w:val="both"/>
      </w:pPr>
      <w:r>
        <w:rPr>
          <w:rFonts w:ascii="Times New Roman" w:hAnsi="Times New Roman"/>
          <w:b/>
          <w:i w:val="0"/>
          <w:sz w:val="20"/>
        </w:rPr>
        <w:t>Model assumption.</w:t>
      </w:r>
      <w:r>
        <w:rPr>
          <w:rFonts w:ascii="Times New Roman" w:hAnsi="Times New Roman"/>
          <w:b w:val="0"/>
          <w:i w:val="0"/>
          <w:sz w:val="20"/>
        </w:rPr>
        <w:t xml:space="preserve"> We model the TALUS s2 channel as b = −c·s′ + e with e uniform on the BCC interval; the v0.22 writeup does not list per-signature released values, so this is our reading, not the specification. N* is measured per ring element (one of k) unless stated. Table IX summarises the margins.</w:t>
      </w:r>
    </w:p>
    <w:p>
      <w:pPr>
        <w:keepNext/>
        <w:spacing w:after="40"/>
        <w:jc w:val="center"/>
      </w:pPr>
      <w:r>
        <w:rPr>
          <w:rFonts w:ascii="Times New Roman" w:hAnsi="Times New Roman"/>
          <w:b w:val="0"/>
          <w:i w:val="0"/>
          <w:sz w:val="16"/>
        </w:rPr>
        <w:t xml:space="preserve">TABLE IX. </w:t>
      </w:r>
      <w:r>
        <w:rPr>
          <w:rFonts w:ascii="Times New Roman" w:hAnsi="Times New Roman"/>
          <w:b w:val="0"/>
          <w:i w:val="0"/>
          <w:sz w:val="16"/>
        </w:rPr>
        <w:t>TALUS cap margins, ML-DSA-44/65/87, n = 256 (per ring element)</w:t>
      </w:r>
    </w:p>
    <w:tbl>
      <w:tblPr>
        <w:tblStyle w:val="TableGrid"/>
        <w:tblW w:type="auto" w:w="0"/>
        <w:tblLook w:firstColumn="1" w:firstRow="1" w:lastColumn="0" w:lastRow="0" w:noHBand="0" w:noVBand="1" w:val="04A0"/>
      </w:tblPr>
      <w:tblGrid>
        <w:gridCol w:w="1625"/>
        <w:gridCol w:w="1625"/>
        <w:gridCol w:w="1625"/>
        <w:gridCol w:w="1625"/>
        <w:gridCol w:w="1625"/>
        <w:gridCol w:w="1625"/>
      </w:tblGrid>
      <w:tr>
        <w:tc>
          <w:tcPr>
            <w:tcW w:type="dxa" w:w="1288"/>
            <w:shd w:val="clear" w:color="auto" w:fill="D9D9D9"/>
          </w:tcPr>
          <w:p>
            <w:pPr>
              <w:spacing w:after="0"/>
            </w:pPr>
            <w:r/>
            <w:r>
              <w:rPr>
                <w:rFonts w:ascii="Times New Roman" w:hAnsi="Times New Roman"/>
                <w:b/>
                <w:i w:val="0"/>
                <w:sz w:val="16"/>
              </w:rPr>
              <w:t>Set</w:t>
            </w:r>
          </w:p>
        </w:tc>
        <w:tc>
          <w:tcPr>
            <w:tcW w:type="dxa" w:w="515"/>
            <w:shd w:val="clear" w:color="auto" w:fill="D9D9D9"/>
          </w:tcPr>
          <w:p>
            <w:pPr>
              <w:spacing w:after="0"/>
            </w:pPr>
            <w:r/>
            <w:r>
              <w:rPr>
                <w:rFonts w:ascii="Times New Roman" w:hAnsi="Times New Roman"/>
                <w:b/>
                <w:i w:val="0"/>
                <w:sz w:val="16"/>
              </w:rPr>
              <w:t>Cap</w:t>
            </w:r>
          </w:p>
        </w:tc>
        <w:tc>
          <w:tcPr>
            <w:tcW w:type="dxa" w:w="601"/>
            <w:shd w:val="clear" w:color="auto" w:fill="D9D9D9"/>
          </w:tcPr>
          <w:p>
            <w:pPr>
              <w:spacing w:after="0"/>
            </w:pPr>
            <w:r/>
            <w:r>
              <w:rPr>
                <w:rFonts w:ascii="Times New Roman" w:hAnsi="Times New Roman"/>
                <w:b/>
                <w:i w:val="0"/>
                <w:sz w:val="16"/>
              </w:rPr>
              <w:t>Wall</w:t>
            </w:r>
          </w:p>
        </w:tc>
        <w:tc>
          <w:tcPr>
            <w:tcW w:type="dxa" w:w="1203"/>
            <w:shd w:val="clear" w:color="auto" w:fill="D9D9D9"/>
          </w:tcPr>
          <w:p>
            <w:pPr>
              <w:spacing w:after="0"/>
            </w:pPr>
            <w:r/>
            <w:r>
              <w:rPr>
                <w:rFonts w:ascii="Times New Roman" w:hAnsi="Times New Roman"/>
                <w:b/>
                <w:i w:val="0"/>
                <w:sz w:val="16"/>
              </w:rPr>
              <w:t>Measured N*</w:t>
            </w:r>
          </w:p>
        </w:tc>
        <w:tc>
          <w:tcPr>
            <w:tcW w:type="dxa" w:w="429"/>
            <w:shd w:val="clear" w:color="auto" w:fill="D9D9D9"/>
          </w:tcPr>
          <w:p>
            <w:pPr>
              <w:spacing w:after="0"/>
            </w:pPr>
            <w:r/>
            <w:r>
              <w:rPr>
                <w:rFonts w:ascii="Times New Roman" w:hAnsi="Times New Roman"/>
                <w:b/>
                <w:i w:val="0"/>
                <w:sz w:val="16"/>
              </w:rPr>
              <w:t>log2</w:t>
            </w:r>
          </w:p>
        </w:tc>
        <w:tc>
          <w:tcPr>
            <w:tcW w:type="dxa" w:w="859"/>
            <w:shd w:val="clear" w:color="auto" w:fill="D9D9D9"/>
          </w:tcPr>
          <w:p>
            <w:pPr>
              <w:spacing w:after="0"/>
            </w:pPr>
            <w:r/>
            <w:r>
              <w:rPr>
                <w:rFonts w:ascii="Times New Roman" w:hAnsi="Times New Roman"/>
                <w:b/>
                <w:i w:val="0"/>
                <w:sz w:val="16"/>
              </w:rPr>
              <w:t>Above cap / wall</w:t>
            </w:r>
          </w:p>
        </w:tc>
      </w:tr>
      <w:tr>
        <w:tc>
          <w:tcPr>
            <w:tcW w:type="dxa" w:w="1288"/>
          </w:tcPr>
          <w:p>
            <w:pPr>
              <w:spacing w:after="0"/>
            </w:pPr>
            <w:r/>
            <w:r>
              <w:rPr>
                <w:rFonts w:ascii="Times New Roman" w:hAnsi="Times New Roman"/>
                <w:b w:val="0"/>
                <w:i w:val="0"/>
                <w:sz w:val="16"/>
              </w:rPr>
              <w:t>-44 edge</w:t>
            </w:r>
          </w:p>
        </w:tc>
        <w:tc>
          <w:tcPr>
            <w:tcW w:type="dxa" w:w="515"/>
          </w:tcPr>
          <w:p>
            <w:pPr>
              <w:spacing w:after="0"/>
            </w:pPr>
            <w:r/>
            <w:r>
              <w:rPr>
                <w:rFonts w:ascii="Times New Roman" w:hAnsi="Times New Roman"/>
                <w:b w:val="0"/>
                <w:i w:val="0"/>
                <w:sz w:val="16"/>
              </w:rPr>
              <w:t>2^13</w:t>
            </w:r>
          </w:p>
        </w:tc>
        <w:tc>
          <w:tcPr>
            <w:tcW w:type="dxa" w:w="601"/>
          </w:tcPr>
          <w:p>
            <w:pPr>
              <w:spacing w:after="0"/>
            </w:pPr>
            <w:r/>
            <w:r>
              <w:rPr>
                <w:rFonts w:ascii="Times New Roman" w:hAnsi="Times New Roman"/>
                <w:b w:val="0"/>
                <w:i w:val="0"/>
                <w:sz w:val="16"/>
              </w:rPr>
              <w:t>2^15.2</w:t>
            </w:r>
          </w:p>
        </w:tc>
        <w:tc>
          <w:tcPr>
            <w:tcW w:type="dxa" w:w="1203"/>
          </w:tcPr>
          <w:p>
            <w:pPr>
              <w:spacing w:after="0"/>
            </w:pPr>
            <w:r/>
            <w:r>
              <w:rPr>
                <w:rFonts w:ascii="Times New Roman" w:hAnsi="Times New Roman"/>
                <w:b w:val="0"/>
                <w:i w:val="0"/>
                <w:sz w:val="16"/>
              </w:rPr>
              <w:t>1.45e5 (20 tr.)</w:t>
            </w:r>
          </w:p>
        </w:tc>
        <w:tc>
          <w:tcPr>
            <w:tcW w:type="dxa" w:w="429"/>
          </w:tcPr>
          <w:p>
            <w:pPr>
              <w:spacing w:after="0"/>
            </w:pPr>
            <w:r/>
            <w:r>
              <w:rPr>
                <w:rFonts w:ascii="Times New Roman" w:hAnsi="Times New Roman"/>
                <w:b w:val="0"/>
                <w:i w:val="0"/>
                <w:sz w:val="16"/>
              </w:rPr>
              <w:t>17.1</w:t>
            </w:r>
          </w:p>
        </w:tc>
        <w:tc>
          <w:tcPr>
            <w:tcW w:type="dxa" w:w="859"/>
          </w:tcPr>
          <w:p>
            <w:pPr>
              <w:spacing w:after="0"/>
            </w:pPr>
            <w:r/>
            <w:r>
              <w:rPr>
                <w:rFonts w:ascii="Times New Roman" w:hAnsi="Times New Roman"/>
                <w:b w:val="0"/>
                <w:i w:val="0"/>
                <w:sz w:val="16"/>
              </w:rPr>
              <w:t>4.1 / 1.9</w:t>
            </w:r>
          </w:p>
        </w:tc>
      </w:tr>
      <w:tr>
        <w:tc>
          <w:tcPr>
            <w:tcW w:type="dxa" w:w="1288"/>
          </w:tcPr>
          <w:p>
            <w:pPr>
              <w:spacing w:after="0"/>
            </w:pPr>
            <w:r/>
            <w:r>
              <w:rPr>
                <w:rFonts w:ascii="Times New Roman" w:hAnsi="Times New Roman"/>
                <w:b w:val="0"/>
                <w:i w:val="0"/>
                <w:sz w:val="16"/>
              </w:rPr>
              <w:t>-44 edge+ILP</w:t>
            </w:r>
          </w:p>
        </w:tc>
        <w:tc>
          <w:tcPr>
            <w:tcW w:type="dxa" w:w="515"/>
          </w:tcPr>
          <w:p>
            <w:pPr>
              <w:spacing w:after="0"/>
            </w:pPr>
            <w:r/>
            <w:r>
              <w:rPr>
                <w:rFonts w:ascii="Times New Roman" w:hAnsi="Times New Roman"/>
                <w:b w:val="0"/>
                <w:i w:val="0"/>
                <w:sz w:val="16"/>
              </w:rPr>
              <w:t>2^13</w:t>
            </w:r>
          </w:p>
        </w:tc>
        <w:tc>
          <w:tcPr>
            <w:tcW w:type="dxa" w:w="601"/>
          </w:tcPr>
          <w:p>
            <w:pPr>
              <w:spacing w:after="0"/>
            </w:pPr>
            <w:r/>
            <w:r>
              <w:rPr>
                <w:rFonts w:ascii="Times New Roman" w:hAnsi="Times New Roman"/>
                <w:b w:val="0"/>
                <w:i w:val="0"/>
                <w:sz w:val="16"/>
              </w:rPr>
              <w:t>2^15.2</w:t>
            </w:r>
          </w:p>
        </w:tc>
        <w:tc>
          <w:tcPr>
            <w:tcW w:type="dxa" w:w="1203"/>
          </w:tcPr>
          <w:p>
            <w:pPr>
              <w:spacing w:after="0"/>
            </w:pPr>
            <w:r/>
            <w:r>
              <w:rPr>
                <w:rFonts w:ascii="Times New Roman" w:hAnsi="Times New Roman"/>
                <w:b w:val="0"/>
                <w:i w:val="0"/>
                <w:sz w:val="16"/>
              </w:rPr>
              <w:t>7e4 (8/8)</w:t>
            </w:r>
          </w:p>
        </w:tc>
        <w:tc>
          <w:tcPr>
            <w:tcW w:type="dxa" w:w="429"/>
          </w:tcPr>
          <w:p>
            <w:pPr>
              <w:spacing w:after="0"/>
            </w:pPr>
            <w:r/>
            <w:r>
              <w:rPr>
                <w:rFonts w:ascii="Times New Roman" w:hAnsi="Times New Roman"/>
                <w:b w:val="0"/>
                <w:i w:val="0"/>
                <w:sz w:val="16"/>
              </w:rPr>
              <w:t>16.1</w:t>
            </w:r>
          </w:p>
        </w:tc>
        <w:tc>
          <w:tcPr>
            <w:tcW w:type="dxa" w:w="859"/>
          </w:tcPr>
          <w:p>
            <w:pPr>
              <w:spacing w:after="0"/>
            </w:pPr>
            <w:r/>
            <w:r>
              <w:rPr>
                <w:rFonts w:ascii="Times New Roman" w:hAnsi="Times New Roman"/>
                <w:b w:val="0"/>
                <w:i w:val="0"/>
                <w:sz w:val="16"/>
              </w:rPr>
              <w:t>3.1 / 0.9</w:t>
            </w:r>
          </w:p>
        </w:tc>
      </w:tr>
      <w:tr>
        <w:tc>
          <w:tcPr>
            <w:tcW w:type="dxa" w:w="1288"/>
          </w:tcPr>
          <w:p>
            <w:pPr>
              <w:spacing w:after="0"/>
            </w:pPr>
            <w:r/>
            <w:r>
              <w:rPr>
                <w:rFonts w:ascii="Times New Roman" w:hAnsi="Times New Roman"/>
                <w:b w:val="0"/>
                <w:i w:val="0"/>
                <w:sz w:val="16"/>
              </w:rPr>
              <w:t>-65 edge</w:t>
            </w:r>
          </w:p>
        </w:tc>
        <w:tc>
          <w:tcPr>
            <w:tcW w:type="dxa" w:w="515"/>
          </w:tcPr>
          <w:p>
            <w:pPr>
              <w:spacing w:after="0"/>
            </w:pPr>
            <w:r/>
            <w:r>
              <w:rPr>
                <w:rFonts w:ascii="Times New Roman" w:hAnsi="Times New Roman"/>
                <w:b w:val="0"/>
                <w:i w:val="0"/>
                <w:sz w:val="16"/>
              </w:rPr>
              <w:t>2^14</w:t>
            </w:r>
          </w:p>
        </w:tc>
        <w:tc>
          <w:tcPr>
            <w:tcW w:type="dxa" w:w="601"/>
          </w:tcPr>
          <w:p>
            <w:pPr>
              <w:spacing w:after="0"/>
            </w:pPr>
            <w:r/>
            <w:r>
              <w:rPr>
                <w:rFonts w:ascii="Times New Roman" w:hAnsi="Times New Roman"/>
                <w:b w:val="0"/>
                <w:i w:val="0"/>
                <w:sz w:val="16"/>
              </w:rPr>
              <w:t>2^16.4</w:t>
            </w:r>
          </w:p>
        </w:tc>
        <w:tc>
          <w:tcPr>
            <w:tcW w:type="dxa" w:w="1203"/>
          </w:tcPr>
          <w:p>
            <w:pPr>
              <w:spacing w:after="0"/>
            </w:pPr>
            <w:r/>
            <w:r>
              <w:rPr>
                <w:rFonts w:ascii="Times New Roman" w:hAnsi="Times New Roman"/>
                <w:b w:val="0"/>
                <w:i w:val="0"/>
                <w:sz w:val="16"/>
              </w:rPr>
              <w:t>3.58e5 (20 tr.)</w:t>
            </w:r>
          </w:p>
        </w:tc>
        <w:tc>
          <w:tcPr>
            <w:tcW w:type="dxa" w:w="429"/>
          </w:tcPr>
          <w:p>
            <w:pPr>
              <w:spacing w:after="0"/>
            </w:pPr>
            <w:r/>
            <w:r>
              <w:rPr>
                <w:rFonts w:ascii="Times New Roman" w:hAnsi="Times New Roman"/>
                <w:b w:val="0"/>
                <w:i w:val="0"/>
                <w:sz w:val="16"/>
              </w:rPr>
              <w:t>18.4</w:t>
            </w:r>
          </w:p>
        </w:tc>
        <w:tc>
          <w:tcPr>
            <w:tcW w:type="dxa" w:w="859"/>
          </w:tcPr>
          <w:p>
            <w:pPr>
              <w:spacing w:after="0"/>
            </w:pPr>
            <w:r/>
            <w:r>
              <w:rPr>
                <w:rFonts w:ascii="Times New Roman" w:hAnsi="Times New Roman"/>
                <w:b w:val="0"/>
                <w:i w:val="0"/>
                <w:sz w:val="16"/>
              </w:rPr>
              <w:t>4.4 / 2.0</w:t>
            </w:r>
          </w:p>
        </w:tc>
      </w:tr>
      <w:tr>
        <w:tc>
          <w:tcPr>
            <w:tcW w:type="dxa" w:w="1288"/>
          </w:tcPr>
          <w:p>
            <w:pPr>
              <w:spacing w:after="0"/>
            </w:pPr>
            <w:r/>
            <w:r>
              <w:rPr>
                <w:rFonts w:ascii="Times New Roman" w:hAnsi="Times New Roman"/>
                <w:b w:val="0"/>
                <w:i w:val="0"/>
                <w:sz w:val="16"/>
              </w:rPr>
              <w:t>-87 edge</w:t>
            </w:r>
          </w:p>
        </w:tc>
        <w:tc>
          <w:tcPr>
            <w:tcW w:type="dxa" w:w="515"/>
          </w:tcPr>
          <w:p>
            <w:pPr>
              <w:spacing w:after="0"/>
            </w:pPr>
            <w:r/>
            <w:r>
              <w:rPr>
                <w:rFonts w:ascii="Times New Roman" w:hAnsi="Times New Roman"/>
                <w:b w:val="0"/>
                <w:i w:val="0"/>
                <w:sz w:val="16"/>
              </w:rPr>
              <w:t>2^14</w:t>
            </w:r>
          </w:p>
        </w:tc>
        <w:tc>
          <w:tcPr>
            <w:tcW w:type="dxa" w:w="601"/>
          </w:tcPr>
          <w:p>
            <w:pPr>
              <w:spacing w:after="0"/>
            </w:pPr>
            <w:r/>
            <w:r>
              <w:rPr>
                <w:rFonts w:ascii="Times New Roman" w:hAnsi="Times New Roman"/>
                <w:b w:val="0"/>
                <w:i w:val="0"/>
                <w:sz w:val="16"/>
              </w:rPr>
              <w:t>2^16.2</w:t>
            </w:r>
          </w:p>
        </w:tc>
        <w:tc>
          <w:tcPr>
            <w:tcW w:type="dxa" w:w="1203"/>
          </w:tcPr>
          <w:p>
            <w:pPr>
              <w:spacing w:after="0"/>
            </w:pPr>
            <w:r/>
            <w:r>
              <w:rPr>
                <w:rFonts w:ascii="Times New Roman" w:hAnsi="Times New Roman"/>
                <w:b w:val="0"/>
                <w:i w:val="0"/>
                <w:sz w:val="16"/>
              </w:rPr>
              <w:t>3.69e5 (20 tr.)</w:t>
            </w:r>
          </w:p>
        </w:tc>
        <w:tc>
          <w:tcPr>
            <w:tcW w:type="dxa" w:w="429"/>
          </w:tcPr>
          <w:p>
            <w:pPr>
              <w:spacing w:after="0"/>
            </w:pPr>
            <w:r/>
            <w:r>
              <w:rPr>
                <w:rFonts w:ascii="Times New Roman" w:hAnsi="Times New Roman"/>
                <w:b w:val="0"/>
                <w:i w:val="0"/>
                <w:sz w:val="16"/>
              </w:rPr>
              <w:t>18.5</w:t>
            </w:r>
          </w:p>
        </w:tc>
        <w:tc>
          <w:tcPr>
            <w:tcW w:type="dxa" w:w="859"/>
          </w:tcPr>
          <w:p>
            <w:pPr>
              <w:spacing w:after="0"/>
            </w:pPr>
            <w:r/>
            <w:r>
              <w:rPr>
                <w:rFonts w:ascii="Times New Roman" w:hAnsi="Times New Roman"/>
                <w:b w:val="0"/>
                <w:i w:val="0"/>
                <w:sz w:val="16"/>
              </w:rPr>
              <w:t>4.5 / 2.3</w:t>
            </w:r>
          </w:p>
        </w:tc>
      </w:tr>
    </w:tbl>
    <w:p>
      <w:pPr>
        <w:spacing w:after="40"/>
      </w:pPr>
    </w:p>
    <w:p>
      <w:pPr>
        <w:jc w:val="both"/>
      </w:pPr>
      <w:r>
        <w:rPr>
          <w:rFonts w:ascii="Times New Roman" w:hAnsi="Times New Roman"/>
          <w:b w:val="0"/>
          <w:i w:val="0"/>
          <w:sz w:val="20"/>
        </w:rPr>
        <w:t xml:space="preserve">For ML-DSA-44 the full secret (all k = 4 elements) was recovered in 20/20 trials at 1.46×10^5. With the ILP finishing step (seed 2032, 8 trials per point) success was 1/8 at 5×10^4, 5/8 at 6×10^4, 8/8 at 7×10^4 and 32/32 from 8×10^4 to 1.45×10^5, where plain rounding gave 0/8 at 8×10^4. For -65 and -87 (seed 2026 for the dense runs) the full secret was checked with 300 trials (seed 2028): 299/300 elements at 2^18.47 and 300/300 at 2^18.53, so by a union bound the full-secret success is at least about 91% and 92% (95% confidence). With ILP (4 trials per point, seed 2032) -65 needs about 2^17.45 (4/4; 3.45 bits above the cap, 1.05 above the wall) and -87 at most 2^17.18 (4/4 at the lowest N tried; 3.18 and 0.98). </w:t>
      </w:r>
      <w:r>
        <w:rPr>
          <w:rFonts w:ascii="Times New Roman" w:hAnsi="Times New Roman"/>
          <w:b/>
          <w:i w:val="0"/>
          <w:sz w:val="20"/>
        </w:rPr>
        <w:t>Controls.</w:t>
      </w:r>
      <w:r>
        <w:rPr>
          <w:rFonts w:ascii="Times New Roman" w:hAnsi="Times New Roman"/>
          <w:b w:val="0"/>
          <w:i w:val="0"/>
          <w:sz w:val="20"/>
        </w:rPr>
        <w:t xml:space="preserve"> On real ML-DSA-44 signing without the r0 check the estimator recovered the key in 9/9 runs (3 keys × N = 2, 4, 8×10^5); on genuine ML-DSA it returned the key for 0/18 keys (15 of them from seed 2027), only the public-equivalent −t0, so the false-positive rate is below about 15% at 95% confidence. </w:t>
      </w:r>
      <w:r>
        <w:rPr>
          <w:rFonts w:ascii="Times New Roman" w:hAnsi="Times New Roman"/>
          <w:b/>
          <w:i w:val="0"/>
          <w:sz w:val="20"/>
        </w:rPr>
        <w:t>Verdict:</w:t>
      </w:r>
      <w:r>
        <w:rPr>
          <w:rFonts w:ascii="Times New Roman" w:hAnsi="Times New Roman"/>
          <w:b w:val="0"/>
          <w:i w:val="0"/>
          <w:sz w:val="20"/>
        </w:rPr>
        <w:t xml:space="preserve"> no break; the margin above the cap is 3–4.5 bits and above the authors' wall only about 1–2 bits, thinner than the 12–15 bits suggested by (1).</w:t>
      </w:r>
    </w:p>
    <w:p>
      <w:pPr>
        <w:jc w:val="both"/>
      </w:pPr>
      <w:r>
        <w:rPr>
          <w:rFonts w:ascii="Times New Roman" w:hAnsi="Times New Roman"/>
          <w:b/>
          <w:i w:val="0"/>
          <w:sz w:val="20"/>
        </w:rPr>
        <w:t>From toy rings to full size.</w:t>
      </w:r>
      <w:r>
        <w:rPr>
          <w:rFonts w:ascii="Times New Roman" w:hAnsi="Times New Roman"/>
          <w:b w:val="0"/>
          <w:i w:val="0"/>
          <w:sz w:val="20"/>
        </w:rPr>
        <w:t xml:space="preserve"> We first ran the edge estimator on reduced rings (n = 8 to 128, 10–20 trials per point, ML-DSA-44 numbers). Per-element N* flattened around 1–2×10^5 (n = 64: 2.8×10^5; n = 128: 1.9×10^5) instead of falling toward the cap, which is why the full-size runs above were then made denser. At n = 64 the harder target s2 − t0 needed the same N* as s2, and plain LowBits noise behaved like BCC noise. Relative to plain least squares (about 3.6×10^9 in our model) the edge estimator is worth about four orders of magnitude, yet it stops 3–4.5 bits short of the cap. The theory module explains the shape: for one coefficient alone the uniform-noise error falls like 1/N exactly (checked by Monte Carlo), and when all 256 coefficients are solved jointly a fitted coupling constant (about 0.76·τ^0.42) accounts for the real N* sitting 1.5–2 bits above the single-coefficient formula. ILP finishing lowers the 50% point by 1.0×, 1.1×, 1.1× and 1.5× at n = 8, 16, 32 and 64, consistent with the roughly 2× at n = 256.</w:t>
      </w:r>
    </w:p>
    <w:p>
      <w:pPr>
        <w:jc w:val="both"/>
      </w:pPr>
      <w:r>
        <w:rPr>
          <w:rFonts w:ascii="Times New Roman" w:hAnsi="Times New Roman"/>
          <w:b/>
          <w:i w:val="0"/>
          <w:sz w:val="20"/>
        </w:rPr>
        <w:t>Limits of the P1 result.</w:t>
      </w:r>
      <w:r>
        <w:rPr>
          <w:rFonts w:ascii="Times New Roman" w:hAnsi="Times New Roman"/>
          <w:b w:val="0"/>
          <w:i w:val="0"/>
          <w:sz w:val="20"/>
        </w:rPr>
        <w:t xml:space="preserve"> (i) The channel model (independent uniform noise on the BCC interval, no wrap-around, no use of the hint) is our reading of TALUS, not quoted from the specification. (ii) The ILP figure is per ring element with 8 trials per point. (iii) Lattice reduction and better use of hints were not tried, so N* is an upper bound on what an attacker needs. (iv) Our wall and cap figures are the authors'; we did not re-derive the wall.</w:t>
      </w:r>
    </w:p>
    <w:p>
      <w:pPr>
        <w:keepNext/>
        <w:spacing w:before="100" w:after="40"/>
      </w:pPr>
      <w:r>
        <w:rPr>
          <w:rFonts w:ascii="Times New Roman" w:hAnsi="Times New Roman"/>
          <w:b w:val="0"/>
          <w:i/>
          <w:sz w:val="20"/>
        </w:rPr>
        <w:t>B. TALUS v0.1 and Mithril</w:t>
      </w:r>
    </w:p>
    <w:p>
      <w:pPr>
        <w:jc w:val="both"/>
      </w:pPr>
      <w:r>
        <w:rPr>
          <w:rFonts w:ascii="Times New Roman" w:hAnsi="Times New Roman"/>
          <w:b/>
          <w:i w:val="0"/>
          <w:sz w:val="20"/>
        </w:rPr>
        <w:t>TALUS v0.1 (Niot's attacks reproduced).</w:t>
      </w:r>
      <w:r>
        <w:rPr>
          <w:rFonts w:ascii="Times New Roman" w:hAnsi="Times New Roman"/>
          <w:b w:val="0"/>
          <w:i w:val="0"/>
          <w:sz w:val="20"/>
        </w:rPr>
        <w:t xml:space="preserve"> On our implementation of the arXiv v2 design [10] (ML-DSA-44, |S| = 3, keys from seeds 101–103; DKG simplified to Shamir sharing), attack 1 recovered s1 exactly from the key-generation broadcast (3/3 keys) and from one MPC signature (60/60). Attack 2 by least squares follows the theory curve up to N = 10^5 (Fig. 2) and would need about 1.2×10^9 signatures. A separate sanity run on real no-check ML-DSA-44 transcripts gave 0.97× Niot's error formula (12 runs), and on the same transcripts the edge estimator needed about 1,500× fewer signatures than his least-squares N. Simplifications: plain ML-DSA key generation followed by Shamir sharing of s1 instead of the paper's DKG, the MPC computation of w1 replaced by its correct output, and |S| = T = 3 throughout. The exercise shows why TALUS changed its design, and that our views reproduce a published break exactly.</w:t>
      </w:r>
    </w:p>
    <w:p>
      <w:pPr>
        <w:jc w:val="both"/>
      </w:pPr>
      <w:r>
        <w:rPr>
          <w:rFonts w:ascii="Times New Roman" w:hAnsi="Times New Roman"/>
          <w:b/>
          <w:i w:val="0"/>
          <w:sz w:val="20"/>
        </w:rPr>
        <w:t>Mithril proof-parameter gap (P2).</w:t>
      </w:r>
      <w:r>
        <w:rPr>
          <w:rFonts w:ascii="Times New Roman" w:hAnsi="Times New Roman"/>
          <w:b w:val="0"/>
          <w:i w:val="0"/>
          <w:sz w:val="20"/>
        </w:rPr>
        <w:t xml:space="preserve"> Theorem 3.2 of [4] bounds the number of safe queries through a hyperball-intersection lemma taken from the ePrint full version of Devevey et al. [25] (App. A.6). That bound uses exponent n−1 where a correct cylinder argument gives (n−1)/2; for ML-DSA-44 it gives 2^-50.1 where the exact value is 2^-33.5 (reproduced with the authors' own Sage parameter script). With the published parameters the theorem then covers Q_s = 2^26–2^37 rather than 2^50. Under the typical norm distribution (heuristic, not a proof) most sets still reach 2^50, some fall up to about 3 bits short; corrected parameters need 1.3× to 8.5× more parallel repetitions K. The faulty bound is ePrint-only (the ASIACRYPT version states only the exact formula), and among 13 citing works we checked only Mithril uses it; HAETAE, the other main hyperball scheme, evaluates the exact incomplete-Beta value numerically and is unaffected. Seen from the other side, reaching 2^50 with the published radii would require the norm bound B in the proof to sit only 0–7 standard deviations above the mean norm of c·s, whereas the proof needs an overwhelming bound (the paper's footnote says about 13). This is a proof gap, not an attack: exceeding the bound slightly enlarges a Rényi-divergence budget and does not obviously reveal s. </w:t>
      </w:r>
      <w:r>
        <w:rPr>
          <w:rFonts w:ascii="Times New Roman" w:hAnsi="Times New Roman"/>
          <w:b/>
          <w:i w:val="0"/>
          <w:sz w:val="20"/>
        </w:rPr>
        <w:t>Hint loss.</w:t>
      </w:r>
      <w:r>
        <w:rPr>
          <w:rFonts w:ascii="Times New Roman" w:hAnsi="Times New Roman"/>
          <w:b w:val="0"/>
          <w:i w:val="0"/>
          <w:sz w:val="20"/>
        </w:rPr>
        <w:t xml:space="preserve"> With the exact share subset of T−1 parties, the lattice estimator gives losses of 4.9–7.7 (ML-DSA-44), 17.7–23.9 (-65) and 8.6–14.4 bits (-87), against the reported 7–12 (Table X).</w:t>
      </w:r>
    </w:p>
    <w:p>
      <w:pPr>
        <w:keepNext/>
        <w:spacing w:after="40"/>
        <w:jc w:val="center"/>
      </w:pPr>
      <w:r>
        <w:rPr>
          <w:rFonts w:ascii="Times New Roman" w:hAnsi="Times New Roman"/>
          <w:b w:val="0"/>
          <w:i w:val="0"/>
          <w:sz w:val="16"/>
        </w:rPr>
        <w:t xml:space="preserve">TABLE X. </w:t>
      </w:r>
      <w:r>
        <w:rPr>
          <w:rFonts w:ascii="Times New Roman" w:hAnsi="Times New Roman"/>
          <w:b w:val="0"/>
          <w:i w:val="0"/>
          <w:sz w:val="16"/>
        </w:rPr>
        <w:t>Mithril a posteriori key-sharing hint loss, exact T−1 share subset</w:t>
      </w:r>
    </w:p>
    <w:tbl>
      <w:tblPr>
        <w:tblStyle w:val="TableGrid"/>
        <w:tblW w:type="auto" w:w="0"/>
        <w:tblLook w:firstColumn="1" w:firstRow="1" w:lastColumn="0" w:lastRow="0" w:noHBand="0" w:noVBand="1" w:val="04A0"/>
      </w:tblPr>
      <w:tblGrid>
        <w:gridCol w:w="2437"/>
        <w:gridCol w:w="2437"/>
        <w:gridCol w:w="2437"/>
        <w:gridCol w:w="2437"/>
      </w:tblGrid>
      <w:tr>
        <w:tc>
          <w:tcPr>
            <w:tcW w:type="dxa" w:w="1064"/>
            <w:shd w:val="clear" w:color="auto" w:fill="D9D9D9"/>
          </w:tcPr>
          <w:p>
            <w:pPr>
              <w:spacing w:after="0"/>
            </w:pPr>
            <w:r/>
            <w:r>
              <w:rPr>
                <w:rFonts w:ascii="Times New Roman" w:hAnsi="Times New Roman"/>
                <w:b/>
                <w:i w:val="0"/>
                <w:sz w:val="16"/>
              </w:rPr>
              <w:t>Set</w:t>
            </w:r>
          </w:p>
        </w:tc>
        <w:tc>
          <w:tcPr>
            <w:tcW w:type="dxa" w:w="1064"/>
            <w:shd w:val="clear" w:color="auto" w:fill="D9D9D9"/>
          </w:tcPr>
          <w:p>
            <w:pPr>
              <w:spacing w:after="0"/>
            </w:pPr>
            <w:r/>
            <w:r>
              <w:rPr>
                <w:rFonts w:ascii="Times New Roman" w:hAnsi="Times New Roman"/>
                <w:b/>
                <w:i w:val="0"/>
                <w:sz w:val="16"/>
              </w:rPr>
              <w:t>Reported loss</w:t>
            </w:r>
          </w:p>
        </w:tc>
        <w:tc>
          <w:tcPr>
            <w:tcW w:type="dxa" w:w="1384"/>
            <w:shd w:val="clear" w:color="auto" w:fill="D9D9D9"/>
          </w:tcPr>
          <w:p>
            <w:pPr>
              <w:spacing w:after="0"/>
            </w:pPr>
            <w:r/>
            <w:r>
              <w:rPr>
                <w:rFonts w:ascii="Times New Roman" w:hAnsi="Times New Roman"/>
                <w:b/>
                <w:i w:val="0"/>
                <w:sz w:val="16"/>
              </w:rPr>
              <w:t>Our estimate (Python)</w:t>
            </w:r>
          </w:p>
        </w:tc>
        <w:tc>
          <w:tcPr>
            <w:tcW w:type="dxa" w:w="1384"/>
            <w:shd w:val="clear" w:color="auto" w:fill="D9D9D9"/>
          </w:tcPr>
          <w:p>
            <w:pPr>
              <w:spacing w:after="0"/>
            </w:pPr>
            <w:r/>
            <w:r>
              <w:rPr>
                <w:rFonts w:ascii="Times New Roman" w:hAnsi="Times New Roman"/>
                <w:b/>
                <w:i w:val="0"/>
                <w:sz w:val="16"/>
              </w:rPr>
              <w:t>Lattice estimator</w:t>
            </w:r>
          </w:p>
        </w:tc>
      </w:tr>
      <w:tr>
        <w:tc>
          <w:tcPr>
            <w:tcW w:type="dxa" w:w="1064"/>
          </w:tcPr>
          <w:p>
            <w:pPr>
              <w:spacing w:after="0"/>
            </w:pPr>
            <w:r/>
            <w:r>
              <w:rPr>
                <w:rFonts w:ascii="Times New Roman" w:hAnsi="Times New Roman"/>
                <w:b w:val="0"/>
                <w:i w:val="0"/>
                <w:sz w:val="16"/>
              </w:rPr>
              <w:t>ML-DSA-44</w:t>
            </w:r>
          </w:p>
        </w:tc>
        <w:tc>
          <w:tcPr>
            <w:tcW w:type="dxa" w:w="1064"/>
          </w:tcPr>
          <w:p>
            <w:pPr>
              <w:spacing w:after="0"/>
            </w:pPr>
            <w:r/>
            <w:r>
              <w:rPr>
                <w:rFonts w:ascii="Times New Roman" w:hAnsi="Times New Roman"/>
                <w:b w:val="0"/>
                <w:i w:val="0"/>
                <w:sz w:val="16"/>
              </w:rPr>
              <w:t>7–12 bits</w:t>
            </w:r>
          </w:p>
        </w:tc>
        <w:tc>
          <w:tcPr>
            <w:tcW w:type="dxa" w:w="1384"/>
          </w:tcPr>
          <w:p>
            <w:pPr>
              <w:spacing w:after="0"/>
            </w:pPr>
            <w:r/>
            <w:r>
              <w:rPr>
                <w:rFonts w:ascii="Times New Roman" w:hAnsi="Times New Roman"/>
                <w:b w:val="0"/>
                <w:i w:val="0"/>
                <w:sz w:val="16"/>
              </w:rPr>
              <w:t>4–7 bits</w:t>
            </w:r>
          </w:p>
        </w:tc>
        <w:tc>
          <w:tcPr>
            <w:tcW w:type="dxa" w:w="1384"/>
          </w:tcPr>
          <w:p>
            <w:pPr>
              <w:spacing w:after="0"/>
            </w:pPr>
            <w:r/>
            <w:r>
              <w:rPr>
                <w:rFonts w:ascii="Times New Roman" w:hAnsi="Times New Roman"/>
                <w:b w:val="0"/>
                <w:i w:val="0"/>
                <w:sz w:val="16"/>
              </w:rPr>
              <w:t>4.9–7.7 bits</w:t>
            </w:r>
          </w:p>
        </w:tc>
      </w:tr>
      <w:tr>
        <w:tc>
          <w:tcPr>
            <w:tcW w:type="dxa" w:w="1064"/>
          </w:tcPr>
          <w:p>
            <w:pPr>
              <w:spacing w:after="0"/>
            </w:pPr>
            <w:r/>
            <w:r>
              <w:rPr>
                <w:rFonts w:ascii="Times New Roman" w:hAnsi="Times New Roman"/>
                <w:b w:val="0"/>
                <w:i w:val="0"/>
                <w:sz w:val="16"/>
              </w:rPr>
              <w:t>ML-DSA-65</w:t>
            </w:r>
          </w:p>
        </w:tc>
        <w:tc>
          <w:tcPr>
            <w:tcW w:type="dxa" w:w="1064"/>
          </w:tcPr>
          <w:p>
            <w:pPr>
              <w:spacing w:after="0"/>
            </w:pPr>
            <w:r/>
            <w:r>
              <w:rPr>
                <w:rFonts w:ascii="Times New Roman" w:hAnsi="Times New Roman"/>
                <w:b w:val="0"/>
                <w:i w:val="0"/>
                <w:sz w:val="16"/>
              </w:rPr>
              <w:t>7–12 bits</w:t>
            </w:r>
          </w:p>
        </w:tc>
        <w:tc>
          <w:tcPr>
            <w:tcW w:type="dxa" w:w="1384"/>
          </w:tcPr>
          <w:p>
            <w:pPr>
              <w:spacing w:after="0"/>
            </w:pPr>
            <w:r/>
            <w:r>
              <w:rPr>
                <w:rFonts w:ascii="Times New Roman" w:hAnsi="Times New Roman"/>
                <w:b w:val="0"/>
                <w:i w:val="0"/>
                <w:sz w:val="16"/>
              </w:rPr>
              <w:t>14.6–20.7 bits</w:t>
            </w:r>
          </w:p>
        </w:tc>
        <w:tc>
          <w:tcPr>
            <w:tcW w:type="dxa" w:w="1384"/>
          </w:tcPr>
          <w:p>
            <w:pPr>
              <w:spacing w:after="0"/>
            </w:pPr>
            <w:r/>
            <w:r>
              <w:rPr>
                <w:rFonts w:ascii="Times New Roman" w:hAnsi="Times New Roman"/>
                <w:b w:val="0"/>
                <w:i w:val="0"/>
                <w:sz w:val="16"/>
              </w:rPr>
              <w:t>17.7–23.9 bits</w:t>
            </w:r>
          </w:p>
        </w:tc>
      </w:tr>
      <w:tr>
        <w:tc>
          <w:tcPr>
            <w:tcW w:type="dxa" w:w="1064"/>
          </w:tcPr>
          <w:p>
            <w:pPr>
              <w:spacing w:after="0"/>
            </w:pPr>
            <w:r/>
            <w:r>
              <w:rPr>
                <w:rFonts w:ascii="Times New Roman" w:hAnsi="Times New Roman"/>
                <w:b w:val="0"/>
                <w:i w:val="0"/>
                <w:sz w:val="16"/>
              </w:rPr>
              <w:t>ML-DSA-87</w:t>
            </w:r>
          </w:p>
        </w:tc>
        <w:tc>
          <w:tcPr>
            <w:tcW w:type="dxa" w:w="1064"/>
          </w:tcPr>
          <w:p>
            <w:pPr>
              <w:spacing w:after="0"/>
            </w:pPr>
            <w:r/>
            <w:r>
              <w:rPr>
                <w:rFonts w:ascii="Times New Roman" w:hAnsi="Times New Roman"/>
                <w:b w:val="0"/>
                <w:i w:val="0"/>
                <w:sz w:val="16"/>
              </w:rPr>
              <w:t>7–12 bits</w:t>
            </w:r>
          </w:p>
        </w:tc>
        <w:tc>
          <w:tcPr>
            <w:tcW w:type="dxa" w:w="1384"/>
          </w:tcPr>
          <w:p>
            <w:pPr>
              <w:spacing w:after="0"/>
            </w:pPr>
            <w:r/>
            <w:r>
              <w:rPr>
                <w:rFonts w:ascii="Times New Roman" w:hAnsi="Times New Roman"/>
                <w:b w:val="0"/>
                <w:i w:val="0"/>
                <w:sz w:val="16"/>
              </w:rPr>
              <w:t>7.6–12.8 bits</w:t>
            </w:r>
          </w:p>
        </w:tc>
        <w:tc>
          <w:tcPr>
            <w:tcW w:type="dxa" w:w="1384"/>
          </w:tcPr>
          <w:p>
            <w:pPr>
              <w:spacing w:after="0"/>
            </w:pPr>
            <w:r/>
            <w:r>
              <w:rPr>
                <w:rFonts w:ascii="Times New Roman" w:hAnsi="Times New Roman"/>
                <w:b w:val="0"/>
                <w:i w:val="0"/>
                <w:sz w:val="16"/>
              </w:rPr>
              <w:t>8.6–14.4 bits</w:t>
            </w:r>
          </w:p>
        </w:tc>
      </w:tr>
    </w:tbl>
    <w:p>
      <w:pPr>
        <w:spacing w:after="40"/>
      </w:pPr>
    </w:p>
    <w:p>
      <w:pPr>
        <w:jc w:val="both"/>
      </w:pPr>
      <w:r>
        <w:rPr>
          <w:rFonts w:ascii="Times New Roman" w:hAnsi="Times New Roman"/>
          <w:b/>
          <w:i w:val="0"/>
          <w:sz w:val="20"/>
        </w:rPr>
        <w:t>Beyond 2^50.</w:t>
      </w:r>
      <w:r>
        <w:rPr>
          <w:rFonts w:ascii="Times New Roman" w:hAnsi="Times New Roman"/>
          <w:b w:val="0"/>
          <w:i w:val="0"/>
          <w:sz w:val="20"/>
        </w:rPr>
        <w:t xml:space="preserve"> Signature schemes are usually assumed to face up to 2^64 queries. For Mithril the accepted response is uniform on an intersection of balls, so the Rényi divergence has the closed form 1/(1−δ) at any order and no Fisher-information leak arises from shape alone; but at 2^64 queries every published set falls short of the proof's requirement (27–38 bits by the theorem, 3–17 bits under the typical-case heuristic), and parameters corrected for 2^64 need K larger by 1.7× to 23×. Correcting only the faulty lemma at 2^50 lowers the radius ratio φ from 7–9 to 5.3–7.7 and raises K by 1.3× to 8.5× (worst case ML-DSA-65 with (T, N) = (5, 6): from 1,200 to 10,234); communication grows with K. These figures are computed from the paper's formulas, not simulated.</w:t>
      </w:r>
    </w:p>
    <w:p>
      <w:pPr>
        <w:jc w:val="both"/>
      </w:pPr>
      <w:r>
        <w:rPr>
          <w:rFonts w:ascii="Times New Roman" w:hAnsi="Times New Roman"/>
          <w:b w:val="0"/>
          <w:i w:val="0"/>
          <w:sz w:val="20"/>
        </w:rPr>
        <w:t>The Python core-SVP substitute reproduces the paper's 12 bits for ML-DSA-44 when given the paper's constant 0.74; the lattice-estimator run (Sage 10.4, rough mode) is the one we quote. Only ML-DSA-65 clearly exceeds the claimed range. Both Mithril items are accounting and proof issues: none gives an attack on the scheme.</w:t>
      </w:r>
    </w:p>
    <w:p>
      <w:pPr>
        <w:keepNext/>
        <w:spacing w:before="100" w:after="40"/>
      </w:pPr>
      <w:r>
        <w:rPr>
          <w:rFonts w:ascii="Times New Roman" w:hAnsi="Times New Roman"/>
          <w:b w:val="0"/>
          <w:i/>
          <w:sz w:val="20"/>
        </w:rPr>
        <w:t>C. Kao's P2 profile (P4)</w:t>
      </w:r>
    </w:p>
    <w:p>
      <w:pPr>
        <w:jc w:val="both"/>
      </w:pPr>
      <w:r>
        <w:rPr>
          <w:rFonts w:ascii="Times New Roman" w:hAnsi="Times New Roman"/>
          <w:b w:val="0"/>
          <w:i w:val="0"/>
          <w:sz w:val="20"/>
        </w:rPr>
        <w:t>The paper's own text (Fig. 1b, Remark 11, App. M.1) has every party broadcast W_i, and its pairwise masks cancel (Lemma 1), so Σ W_i = A·y is public; Gaussian elimination gives y and then s1 = c⁻¹(z − y) from a single P2 signature, for any |S∖C|. The proof of Corollary 5 itself calls this value the public broadcast, and no later appendix changes it. Confirmed by algebra and a toy implementation; the author's code is not public. The toy (ring size 8, real q) also checks the narrower Phase 1 hypothesis: with all but one signer corrupted, the honest party's mask can be stripped and λ_h·A·y_h inverted, while with two honest signers this route fails, as the paper says; the sum route above, however, works whatever the number of honest parties. Two further points: Corollary 6 claims the full threshold-signature functionality without the |H| ≥ 2 condition that its Simulator 17 needs, and the key-generation commitment t(i) = A·s1(i) + s2(i) carries the noise s2(i), so the bare A·s1,i pattern broken in TALUS does not recur there.</w:t>
      </w:r>
    </w:p>
    <w:p>
      <w:pPr>
        <w:keepNext/>
        <w:spacing w:before="100" w:after="40"/>
      </w:pPr>
      <w:r>
        <w:rPr>
          <w:rFonts w:ascii="Times New Roman" w:hAnsi="Times New Roman"/>
          <w:b w:val="0"/>
          <w:i/>
          <w:sz w:val="20"/>
        </w:rPr>
        <w:t>D. Quorus and Trilithium (P3)</w:t>
      </w:r>
    </w:p>
    <w:p>
      <w:pPr>
        <w:jc w:val="both"/>
      </w:pPr>
      <w:r>
        <w:rPr>
          <w:rFonts w:ascii="Times New Roman" w:hAnsi="Times New Roman"/>
          <w:b w:val="0"/>
          <w:i w:val="0"/>
          <w:sz w:val="20"/>
        </w:rPr>
        <w:t>Our Quorus implementation produced 0 of 272,664 signatures failing FIPS 204 verification. No statistical leak is possible by construction at the level of single coefficients; a lattice-level distinguisher was not run. For Trilithium, exact enumeration at n = 4 and Monte Carlo at n = 8 (2×10^8 samples × 3 trials) show the gap between rejected w_H and the simulator shrinking with γ1 and n (branch 2: 3×10^-5 to 7×10^-7 at n = 8). Paper errata, not attacks: Quorus Functionality 6 uses the bound γ2−β−η where every other place uses γ2−β (PDF p. 32), and Lemma 8 has a wrong normalising constant; Trilithium's simulation of unsuccessful signing (p. 24) leaves the gap noted in Section II-I.</w:t>
      </w:r>
    </w:p>
    <w:p>
      <w:pPr>
        <w:jc w:val="both"/>
      </w:pPr>
      <w:r>
        <w:rPr>
          <w:rFonts w:ascii="Times New Roman" w:hAnsi="Times New Roman"/>
          <w:b/>
          <w:i w:val="0"/>
          <w:sz w:val="20"/>
        </w:rPr>
        <w:t>Trilithium in more detail.</w:t>
      </w:r>
      <w:r>
        <w:rPr>
          <w:rFonts w:ascii="Times New Roman" w:hAnsi="Times New Roman"/>
          <w:b w:val="0"/>
          <w:i w:val="0"/>
          <w:sz w:val="20"/>
        </w:rPr>
        <w:t xml:space="preserve"> The released mixture after a rejection comes from two branches: branch 3 (the z check failed) and branch 2 (z passed but the LowBits check failed). Exact enumeration at n = 4 showed a real but small gap between rejected w_H and the simulator, shrinking with γ1 (branch 3 roughly as γ1^-2.7). A branch-2 floor near 10^-4 persisted for γ1 ≥ γ2 at q = 257, 513 and 1025, so it is not a small-q artefact; it comes from the wrap-around rounding cell, and masking that cell removes it (30–65× smaller). Exact convolution for n = 2 to 6 at q = 17 shows both gaps falling with n (branch 3 by 2–3 orders of magnitude from n = 4 to 6). At n = 8 the branch-3 gap is below the Monte Carlo floor of about 10^-7. Toy sizes cannot prove anything about n = 256, but every trend points toward the assumption holding statistically; a lattice-level distinguisher remains untested. On H-F3, a server that tampers with the rejection check is detected and stopped, so the leak is bounded by the stopping time, about log2(attempts) bits, once; the issue is that the paper's simulation does not reproduce how that stopping probability depends on the real z.</w:t>
      </w:r>
    </w:p>
    <w:p>
      <w:pPr>
        <w:jc w:val="both"/>
      </w:pPr>
      <w:r>
        <w:rPr>
          <w:rFonts w:ascii="Times New Roman" w:hAnsi="Times New Roman"/>
          <w:b/>
          <w:i w:val="0"/>
          <w:sz w:val="20"/>
        </w:rPr>
        <w:t>Quorus in more detail.</w:t>
      </w:r>
      <w:r>
        <w:rPr>
          <w:rFonts w:ascii="Times New Roman" w:hAnsi="Times New Roman"/>
          <w:b w:val="0"/>
          <w:i w:val="0"/>
          <w:sz w:val="20"/>
        </w:rPr>
        <w:t xml:space="preserve"> Besides the two text errors, the batched-OR protocol has statistical soundness 2^-39 (κ = 40), so about one rejected attempt in 2^39 is wrongly declared a pass and its failing, key-dependent z is opened; at roughly 10^11 signatures this is not practical, but 40-bit statistical security is lower than usual. A rough reduction (ours, not run) suggests the MLWE instance behind Theorem 2 is about as hard as ML-DSA key recovery itself.</w:t>
      </w:r>
    </w:p>
    <w:p>
      <w:pPr>
        <w:keepNext/>
        <w:spacing w:before="100" w:after="40"/>
      </w:pPr>
      <w:r>
        <w:rPr>
          <w:rFonts w:ascii="Times New Roman" w:hAnsi="Times New Roman"/>
          <w:b w:val="0"/>
          <w:i/>
          <w:sz w:val="20"/>
        </w:rPr>
        <w:t>E. Disclosure status</w:t>
      </w:r>
    </w:p>
    <w:p>
      <w:pPr>
        <w:jc w:val="both"/>
      </w:pPr>
      <w:r>
        <w:rPr>
          <w:rFonts w:ascii="Times New Roman" w:hAnsi="Times New Roman"/>
          <w:b w:val="0"/>
          <w:i w:val="0"/>
          <w:sz w:val="20"/>
        </w:rPr>
        <w:t>The Kao P2 and Mithril findings have not yet been reported to the authors; coordinated disclosure is pending, and both are stated here neutrally as our reading of public documents. Quorus and Trilithium items are errata.</w:t>
      </w:r>
    </w:p>
    <w:p>
      <w:pPr>
        <w:keepNext/>
        <w:spacing w:before="160" w:after="60"/>
        <w:jc w:val="center"/>
      </w:pPr>
      <w:r>
        <w:rPr>
          <w:rFonts w:ascii="Times New Roman" w:hAnsi="Times New Roman"/>
          <w:b w:val="0"/>
          <w:i w:val="0"/>
          <w:sz w:val="20"/>
        </w:rPr>
        <w:t>VI. PHASE 3 PROTOTYPE AND CONCLUSION</w:t>
      </w:r>
    </w:p>
    <w:p>
      <w:pPr>
        <w:jc w:val="both"/>
      </w:pPr>
      <w:r>
        <w:rPr>
          <w:rFonts w:ascii="Times New Roman" w:hAnsi="Times New Roman"/>
          <w:b/>
          <w:i w:val="0"/>
          <w:sz w:val="20"/>
        </w:rPr>
        <w:t>What the Phase 3 prototype will demonstrate.</w:t>
      </w:r>
      <w:r>
        <w:rPr>
          <w:rFonts w:ascii="Times New Roman" w:hAnsi="Times New Roman"/>
          <w:b w:val="0"/>
          <w:i w:val="0"/>
          <w:sz w:val="20"/>
        </w:rPr>
        <w:t xml:space="preserve"> An end-to-end TALUS-cap margin tool: given transcripts produced by the TALUS reference code (packages expected from March 2027) through a scheme view, it runs the bounded-noise estimator with ILP finishing, reports N* and the margin in bits against the cap and the wall, and runs the positive and negative controls automatically, so a reported margin is never quoted without them. Concretely it will (i) replace our channel model by the released values of the real code, (ii) extend ILP finishing to the full secret and to ML-DSA-65/87, and (iii) rerun the Mithril parameter check on the submitted parameters. Success means reproducing Table IX on real transcripts, or explaining any difference, with each margin reported together with its controls. Until packages appear, the prototype runs on our TALUS view, so the demonstration does not depend on the release date. The demonstration will be a single command that takes a transcript file and a parameter set and prints the margin table with its controls, trial counts and seeds; the stretch goals continue alongside it (a lattice-level distinguisher for rejected transcripts, the Go signing code of Mithril, and disclosure to the Kao and Mithril authors).</w:t>
      </w:r>
    </w:p>
    <w:p>
      <w:pPr>
        <w:keepNext/>
        <w:spacing w:after="40"/>
        <w:jc w:val="center"/>
      </w:pPr>
      <w:r>
        <w:rPr>
          <w:rFonts w:ascii="Times New Roman" w:hAnsi="Times New Roman"/>
          <w:b w:val="0"/>
          <w:i w:val="0"/>
          <w:sz w:val="16"/>
        </w:rPr>
        <w:t xml:space="preserve">TABLE XI. </w:t>
      </w:r>
      <w:r>
        <w:rPr>
          <w:rFonts w:ascii="Times New Roman" w:hAnsi="Times New Roman"/>
          <w:b w:val="0"/>
          <w:i w:val="0"/>
          <w:sz w:val="16"/>
        </w:rPr>
        <w:t>Phase 2 plan against outcome, and the hand-over to Phase 3</w:t>
      </w:r>
    </w:p>
    <w:tbl>
      <w:tblPr>
        <w:tblStyle w:val="TableGrid"/>
        <w:tblW w:type="auto" w:w="0"/>
        <w:tblLook w:firstColumn="1" w:firstRow="1" w:lastColumn="0" w:lastRow="0" w:noHBand="0" w:noVBand="1" w:val="04A0"/>
      </w:tblPr>
      <w:tblGrid>
        <w:gridCol w:w="3250"/>
        <w:gridCol w:w="3250"/>
        <w:gridCol w:w="3250"/>
      </w:tblGrid>
      <w:tr>
        <w:tc>
          <w:tcPr>
            <w:tcW w:type="dxa" w:w="377"/>
            <w:shd w:val="clear" w:color="auto" w:fill="D9D9D9"/>
          </w:tcPr>
          <w:p>
            <w:pPr>
              <w:spacing w:after="0"/>
            </w:pPr>
            <w:r/>
            <w:r>
              <w:rPr>
                <w:rFonts w:ascii="Times New Roman" w:hAnsi="Times New Roman"/>
                <w:b/>
                <w:i w:val="0"/>
                <w:sz w:val="16"/>
              </w:rPr>
              <w:t>Stage</w:t>
            </w:r>
          </w:p>
        </w:tc>
        <w:tc>
          <w:tcPr>
            <w:tcW w:type="dxa" w:w="2260"/>
            <w:shd w:val="clear" w:color="auto" w:fill="D9D9D9"/>
          </w:tcPr>
          <w:p>
            <w:pPr>
              <w:spacing w:after="0"/>
            </w:pPr>
            <w:r/>
            <w:r>
              <w:rPr>
                <w:rFonts w:ascii="Times New Roman" w:hAnsi="Times New Roman"/>
                <w:b/>
                <w:i w:val="0"/>
                <w:sz w:val="16"/>
              </w:rPr>
              <w:t>Phase 2 item (Phase 1 plan)</w:t>
            </w:r>
          </w:p>
        </w:tc>
        <w:tc>
          <w:tcPr>
            <w:tcW w:type="dxa" w:w="2260"/>
            <w:shd w:val="clear" w:color="auto" w:fill="D9D9D9"/>
          </w:tcPr>
          <w:p>
            <w:pPr>
              <w:spacing w:after="0"/>
            </w:pPr>
            <w:r/>
            <w:r>
              <w:rPr>
                <w:rFonts w:ascii="Times New Roman" w:hAnsi="Times New Roman"/>
                <w:b/>
                <w:i w:val="0"/>
                <w:sz w:val="16"/>
              </w:rPr>
              <w:t>Status (13 Oct 2026)</w:t>
            </w:r>
          </w:p>
        </w:tc>
      </w:tr>
      <w:tr>
        <w:tc>
          <w:tcPr>
            <w:tcW w:type="dxa" w:w="377"/>
          </w:tcPr>
          <w:p>
            <w:pPr>
              <w:spacing w:after="0"/>
            </w:pPr>
            <w:r/>
            <w:r>
              <w:rPr>
                <w:rFonts w:ascii="Times New Roman" w:hAnsi="Times New Roman"/>
                <w:b w:val="0"/>
                <w:i w:val="0"/>
                <w:sz w:val="16"/>
              </w:rPr>
              <w:t>1</w:t>
            </w:r>
          </w:p>
        </w:tc>
        <w:tc>
          <w:tcPr>
            <w:tcW w:type="dxa" w:w="2260"/>
          </w:tcPr>
          <w:p>
            <w:pPr>
              <w:spacing w:after="0"/>
            </w:pPr>
            <w:r/>
            <w:r>
              <w:rPr>
                <w:rFonts w:ascii="Times New Roman" w:hAnsi="Times New Roman"/>
                <w:b w:val="0"/>
                <w:i w:val="0"/>
                <w:sz w:val="16"/>
              </w:rPr>
              <w:t>ML-DSA primitives, interface, ILWE sanity check</w:t>
            </w:r>
          </w:p>
        </w:tc>
        <w:tc>
          <w:tcPr>
            <w:tcW w:type="dxa" w:w="2260"/>
          </w:tcPr>
          <w:p>
            <w:pPr>
              <w:spacing w:after="0"/>
            </w:pPr>
            <w:r/>
            <w:r>
              <w:rPr>
                <w:rFonts w:ascii="Times New Roman" w:hAnsi="Times New Roman"/>
                <w:b w:val="0"/>
                <w:i w:val="0"/>
                <w:sz w:val="16"/>
              </w:rPr>
              <w:t>Done: 81 ACVP vectors; 0.97× Niot's formula</w:t>
            </w:r>
          </w:p>
        </w:tc>
      </w:tr>
      <w:tr>
        <w:tc>
          <w:tcPr>
            <w:tcW w:type="dxa" w:w="377"/>
          </w:tcPr>
          <w:p>
            <w:pPr>
              <w:spacing w:after="0"/>
            </w:pPr>
            <w:r/>
            <w:r>
              <w:rPr>
                <w:rFonts w:ascii="Times New Roman" w:hAnsi="Times New Roman"/>
                <w:b w:val="0"/>
                <w:i w:val="0"/>
                <w:sz w:val="16"/>
              </w:rPr>
              <w:t>2</w:t>
            </w:r>
          </w:p>
        </w:tc>
        <w:tc>
          <w:tcPr>
            <w:tcW w:type="dxa" w:w="2260"/>
          </w:tcPr>
          <w:p>
            <w:pPr>
              <w:spacing w:after="0"/>
            </w:pPr>
            <w:r/>
            <w:r>
              <w:rPr>
                <w:rFonts w:ascii="Times New Roman" w:hAnsi="Times New Roman"/>
                <w:b w:val="0"/>
                <w:i w:val="0"/>
                <w:sz w:val="16"/>
              </w:rPr>
              <w:t>TALUS cap, bounded-noise and ILP (P1)</w:t>
            </w:r>
          </w:p>
        </w:tc>
        <w:tc>
          <w:tcPr>
            <w:tcW w:type="dxa" w:w="2260"/>
          </w:tcPr>
          <w:p>
            <w:pPr>
              <w:spacing w:after="0"/>
            </w:pPr>
            <w:r/>
            <w:r>
              <w:rPr>
                <w:rFonts w:ascii="Times New Roman" w:hAnsi="Times New Roman"/>
                <w:b w:val="0"/>
                <w:i w:val="0"/>
                <w:sz w:val="16"/>
              </w:rPr>
              <w:t>Done for per-element N*; ILP only -44</w:t>
            </w:r>
          </w:p>
        </w:tc>
      </w:tr>
      <w:tr>
        <w:tc>
          <w:tcPr>
            <w:tcW w:type="dxa" w:w="377"/>
          </w:tcPr>
          <w:p>
            <w:pPr>
              <w:spacing w:after="0"/>
            </w:pPr>
            <w:r/>
            <w:r>
              <w:rPr>
                <w:rFonts w:ascii="Times New Roman" w:hAnsi="Times New Roman"/>
                <w:b w:val="0"/>
                <w:i w:val="0"/>
                <w:sz w:val="16"/>
              </w:rPr>
              <w:t>3</w:t>
            </w:r>
          </w:p>
        </w:tc>
        <w:tc>
          <w:tcPr>
            <w:tcW w:type="dxa" w:w="2260"/>
          </w:tcPr>
          <w:p>
            <w:pPr>
              <w:spacing w:after="0"/>
            </w:pPr>
            <w:r/>
            <w:r>
              <w:rPr>
                <w:rFonts w:ascii="Times New Roman" w:hAnsi="Times New Roman"/>
                <w:b w:val="0"/>
                <w:i w:val="0"/>
                <w:sz w:val="16"/>
              </w:rPr>
              <w:t>Mithril accepted z, hint accounting (P2)</w:t>
            </w:r>
          </w:p>
        </w:tc>
        <w:tc>
          <w:tcPr>
            <w:tcW w:type="dxa" w:w="2260"/>
          </w:tcPr>
          <w:p>
            <w:pPr>
              <w:spacing w:after="0"/>
            </w:pPr>
            <w:r/>
            <w:r>
              <w:rPr>
                <w:rFonts w:ascii="Times New Roman" w:hAnsi="Times New Roman"/>
                <w:b w:val="0"/>
                <w:i w:val="0"/>
                <w:sz w:val="16"/>
              </w:rPr>
              <w:t>Done: proof gap; hint table</w:t>
            </w:r>
          </w:p>
        </w:tc>
      </w:tr>
      <w:tr>
        <w:tc>
          <w:tcPr>
            <w:tcW w:type="dxa" w:w="377"/>
          </w:tcPr>
          <w:p>
            <w:pPr>
              <w:spacing w:after="0"/>
            </w:pPr>
            <w:r/>
            <w:r>
              <w:rPr>
                <w:rFonts w:ascii="Times New Roman" w:hAnsi="Times New Roman"/>
                <w:b w:val="0"/>
                <w:i w:val="0"/>
                <w:sz w:val="16"/>
              </w:rPr>
              <w:t>4</w:t>
            </w:r>
          </w:p>
        </w:tc>
        <w:tc>
          <w:tcPr>
            <w:tcW w:type="dxa" w:w="2260"/>
          </w:tcPr>
          <w:p>
            <w:pPr>
              <w:spacing w:after="0"/>
            </w:pPr>
            <w:r/>
            <w:r>
              <w:rPr>
                <w:rFonts w:ascii="Times New Roman" w:hAnsi="Times New Roman"/>
                <w:b w:val="0"/>
                <w:i w:val="0"/>
                <w:sz w:val="16"/>
              </w:rPr>
              <w:t>Quorus, Trilithium rejected attempts (P3)</w:t>
            </w:r>
          </w:p>
        </w:tc>
        <w:tc>
          <w:tcPr>
            <w:tcW w:type="dxa" w:w="2260"/>
          </w:tcPr>
          <w:p>
            <w:pPr>
              <w:spacing w:after="0"/>
            </w:pPr>
            <w:r/>
            <w:r>
              <w:rPr>
                <w:rFonts w:ascii="Times New Roman" w:hAnsi="Times New Roman"/>
                <w:b w:val="0"/>
                <w:i w:val="0"/>
                <w:sz w:val="16"/>
              </w:rPr>
              <w:t>Done at statistical level; lattice test not run</w:t>
            </w:r>
          </w:p>
        </w:tc>
      </w:tr>
      <w:tr>
        <w:tc>
          <w:tcPr>
            <w:tcW w:type="dxa" w:w="377"/>
          </w:tcPr>
          <w:p>
            <w:pPr>
              <w:spacing w:after="0"/>
            </w:pPr>
            <w:r/>
            <w:r>
              <w:rPr>
                <w:rFonts w:ascii="Times New Roman" w:hAnsi="Times New Roman"/>
                <w:b w:val="0"/>
                <w:i w:val="0"/>
                <w:sz w:val="16"/>
              </w:rPr>
              <w:t>5</w:t>
            </w:r>
          </w:p>
        </w:tc>
        <w:tc>
          <w:tcPr>
            <w:tcW w:type="dxa" w:w="2260"/>
          </w:tcPr>
          <w:p>
            <w:pPr>
              <w:spacing w:after="0"/>
            </w:pPr>
            <w:r/>
            <w:r>
              <w:rPr>
                <w:rFonts w:ascii="Times New Roman" w:hAnsi="Times New Roman"/>
                <w:b w:val="0"/>
                <w:i w:val="0"/>
                <w:sz w:val="16"/>
              </w:rPr>
              <w:t>Kao P2 and DKG claims (P4)</w:t>
            </w:r>
          </w:p>
        </w:tc>
        <w:tc>
          <w:tcPr>
            <w:tcW w:type="dxa" w:w="2260"/>
          </w:tcPr>
          <w:p>
            <w:pPr>
              <w:spacing w:after="0"/>
            </w:pPr>
            <w:r/>
            <w:r>
              <w:rPr>
                <w:rFonts w:ascii="Times New Roman" w:hAnsi="Times New Roman"/>
                <w:b w:val="0"/>
                <w:i w:val="0"/>
                <w:sz w:val="16"/>
              </w:rPr>
              <w:t>Done: key exposure confirmed in text</w:t>
            </w:r>
          </w:p>
        </w:tc>
      </w:tr>
      <w:tr>
        <w:tc>
          <w:tcPr>
            <w:tcW w:type="dxa" w:w="377"/>
          </w:tcPr>
          <w:p>
            <w:pPr>
              <w:spacing w:after="0"/>
            </w:pPr>
            <w:r/>
            <w:r>
              <w:rPr>
                <w:rFonts w:ascii="Times New Roman" w:hAnsi="Times New Roman"/>
                <w:b w:val="0"/>
                <w:i w:val="0"/>
                <w:sz w:val="16"/>
              </w:rPr>
              <w:t>6</w:t>
            </w:r>
          </w:p>
        </w:tc>
        <w:tc>
          <w:tcPr>
            <w:tcW w:type="dxa" w:w="2260"/>
          </w:tcPr>
          <w:p>
            <w:pPr>
              <w:spacing w:after="0"/>
            </w:pPr>
            <w:r/>
            <w:r>
              <w:rPr>
                <w:rFonts w:ascii="Times New Roman" w:hAnsi="Times New Roman"/>
                <w:b w:val="0"/>
                <w:i w:val="0"/>
                <w:sz w:val="16"/>
              </w:rPr>
              <w:t>Rerun on reference code (from Mar. 2027)</w:t>
            </w:r>
          </w:p>
        </w:tc>
        <w:tc>
          <w:tcPr>
            <w:tcW w:type="dxa" w:w="2260"/>
          </w:tcPr>
          <w:p>
            <w:pPr>
              <w:spacing w:after="0"/>
            </w:pPr>
            <w:r/>
            <w:r>
              <w:rPr>
                <w:rFonts w:ascii="Times New Roman" w:hAnsi="Times New Roman"/>
                <w:b w:val="0"/>
                <w:i w:val="0"/>
                <w:sz w:val="16"/>
              </w:rPr>
              <w:t>Phase 3; only Mithril script run so far</w:t>
            </w:r>
          </w:p>
        </w:tc>
      </w:tr>
    </w:tbl>
    <w:p>
      <w:pPr>
        <w:spacing w:after="40"/>
      </w:pPr>
    </w:p>
    <w:p>
      <w:pPr>
        <w:jc w:val="both"/>
      </w:pPr>
      <w:r>
        <w:rPr>
          <w:rFonts w:ascii="Times New Roman" w:hAnsi="Times New Roman"/>
          <w:b w:val="0"/>
          <w:i w:val="0"/>
          <w:sz w:val="20"/>
        </w:rPr>
        <w:t>Table XI sets the Phase 1 plan against what Phase 2 delivered.</w:t>
      </w:r>
    </w:p>
    <w:p>
      <w:pPr>
        <w:jc w:val="both"/>
      </w:pPr>
      <w:r>
        <w:rPr>
          <w:rFonts w:ascii="Times New Roman" w:hAnsi="Times New Roman"/>
          <w:b/>
          <w:i w:val="0"/>
          <w:sz w:val="20"/>
        </w:rPr>
        <w:t>Research questions, answered.</w:t>
      </w:r>
      <w:r>
        <w:rPr>
          <w:rFonts w:ascii="Times New Roman" w:hAnsi="Times New Roman"/>
          <w:b w:val="0"/>
          <w:i w:val="0"/>
          <w:sz w:val="20"/>
        </w:rPr>
        <w:t xml:space="preserve"> (RQ1) Which threshold ML-DSA designs exist? Four First-Call proposals, differing in corruption model, party count and rounds (Table II). (RQ2) Which are broken? Earlier TALUS versions, by two attacks that we reproduced; Kao's P2 profile exposes the key from one signature by the paper's own text. (RQ3) Which techniques work? Linear inversion of published A·x, nonce-leak recovery, and for the TALUS channel a bounded-noise estimator with ILP finishing, about four orders of magnitude better than least squares. (RQ4) Where is the evidence thinnest? The TALUS cap margin (now measured at 3–4.5 bits above the cap), Mithril's parameter-proof accounting, and the untested lattice-level question for rejected transcripts in Quorus and Trilithium.</w:t>
      </w:r>
    </w:p>
    <w:p>
      <w:pPr>
        <w:jc w:val="both"/>
      </w:pPr>
      <w:r>
        <w:rPr>
          <w:rFonts w:ascii="Times New Roman" w:hAnsi="Times New Roman"/>
          <w:b/>
          <w:i w:val="0"/>
          <w:sz w:val="20"/>
        </w:rPr>
        <w:t>Lessons from Phase 2.</w:t>
      </w:r>
      <w:r>
        <w:rPr>
          <w:rFonts w:ascii="Times New Roman" w:hAnsi="Times New Roman"/>
          <w:b w:val="0"/>
          <w:i w:val="0"/>
          <w:sz w:val="20"/>
        </w:rPr>
        <w:t xml:space="preserve"> Three methodological points carry over to Phase 3. First, controls change conclusions: without the negative control the estimator's output −t0 on genuine ML-DSA could have been mistaken for leakage. Second, reduced-size runs can mislead in either direction (the ML-DSA-87 shortcut at n = 64 overstated the margin, and ILP gains grow with n), so only full-size numbers are quoted. Third, reading the papers in full revised two of our own Phase 1 statements (Trilithium releases w_H, not a partial signature; uniformity holds per coefficient only), which is why every hypothesis in Section II-I now carries a verdict.</w:t>
      </w:r>
    </w:p>
    <w:p>
      <w:pPr>
        <w:jc w:val="both"/>
      </w:pPr>
      <w:r>
        <w:rPr>
          <w:rFonts w:ascii="Times New Roman" w:hAnsi="Times New Roman"/>
          <w:b/>
          <w:i w:val="0"/>
          <w:sz w:val="20"/>
        </w:rPr>
        <w:t>Positioning.</w:t>
      </w:r>
      <w:r>
        <w:rPr>
          <w:rFonts w:ascii="Times New Roman" w:hAnsi="Times New Roman"/>
          <w:b w:val="0"/>
          <w:i w:val="0"/>
          <w:sz w:val="20"/>
        </w:rPr>
        <w:t xml:space="preserve"> Earlier cryptanalysis of lattice signatures [17]–[20] targets a single signer leaking through a physical side channel. Here the leakage is logical: it is part of the protocol transcript, visible to any observer or corrupted party, and its noise distribution is known exactly from the specification. Results therefore transfer across implementations, and schemes analysed only by proof gain an independent empirical check.</w:t>
      </w:r>
    </w:p>
    <w:p>
      <w:pPr>
        <w:jc w:val="both"/>
      </w:pPr>
      <w:r>
        <w:rPr>
          <w:rFonts w:ascii="Times New Roman" w:hAnsi="Times New Roman"/>
          <w:b/>
          <w:i w:val="0"/>
          <w:sz w:val="20"/>
        </w:rPr>
        <w:t>Ethics.</w:t>
      </w:r>
      <w:r>
        <w:rPr>
          <w:rFonts w:ascii="Times New Roman" w:hAnsi="Times New Roman"/>
          <w:b w:val="0"/>
          <w:i w:val="0"/>
          <w:sz w:val="20"/>
        </w:rPr>
        <w:t xml:space="preserve"> We study only public, standardisation-stage specifications, as NIST invites. Findings about a scheme are shared with its authors before any public posting, and we distinguish confirmed key recovery, measured margins, proof gaps and errata, labelling results that rely on our simulators rather than the authors' code.</w:t>
      </w:r>
    </w:p>
    <w:p>
      <w:pPr>
        <w:jc w:val="both"/>
      </w:pPr>
      <w:r>
        <w:rPr>
          <w:rFonts w:ascii="Times New Roman" w:hAnsi="Times New Roman"/>
          <w:b/>
          <w:i w:val="0"/>
          <w:sz w:val="20"/>
        </w:rPr>
        <w:t>Conclusion.</w:t>
      </w:r>
      <w:r>
        <w:rPr>
          <w:rFonts w:ascii="Times New Roman" w:hAnsi="Times New Roman"/>
          <w:b w:val="0"/>
          <w:i w:val="0"/>
          <w:sz w:val="20"/>
        </w:rPr>
        <w:t xml:space="preserve"> The survey of twenty-four sources showed that threshold ML-DSA designs fail when patterns from discrete-log protocols are imported, and that three of the four proposals had not been tested. Phase 2 built and validated a harness and measured the core quantity: the TALUS cap holds in our model, but by 3–4.5 bits above the cap and only about 1–2 bits above the authors' wall, much less than least squares suggests. Secondary findings are a proof-parameter gap in Mithril, a key exposure in Kao's P2 profile, and errata in Quorus and Trilithium, with disclosure to the authors to follow before any public posting.</w:t>
      </w:r>
    </w:p>
    <w:p>
      <w:pPr>
        <w:keepNext/>
        <w:spacing w:before="120" w:after="60"/>
        <w:jc w:val="center"/>
      </w:pPr>
      <w:r>
        <w:rPr>
          <w:rFonts w:ascii="Times New Roman" w:hAnsi="Times New Roman"/>
          <w:b/>
          <w:i w:val="0"/>
          <w:sz w:val="18"/>
        </w:rPr>
        <w:t>REFERENCES</w:t>
      </w:r>
    </w:p>
    <w:p>
      <w:pPr>
        <w:spacing w:after="20"/>
        <w:ind w:left="432" w:hanging="432"/>
        <w:jc w:val="both"/>
      </w:pPr>
      <w:r>
        <w:rPr>
          <w:rFonts w:ascii="Times New Roman" w:hAnsi="Times New Roman"/>
          <w:b w:val="0"/>
          <w:i w:val="0"/>
          <w:sz w:val="16"/>
        </w:rPr>
        <w:t xml:space="preserve">[1] NIST, “FIPS 204: Module-Lattice-Based Digital Signature Standard,” </w:t>
      </w:r>
      <w:r>
        <w:rPr>
          <w:rFonts w:ascii="Times New Roman" w:hAnsi="Times New Roman"/>
          <w:b w:val="0"/>
          <w:i/>
          <w:sz w:val="16"/>
        </w:rPr>
        <w:t>Aug. 2024.</w:t>
      </w:r>
    </w:p>
    <w:p>
      <w:pPr>
        <w:spacing w:after="20"/>
        <w:ind w:left="432" w:hanging="432"/>
        <w:jc w:val="both"/>
      </w:pPr>
      <w:r>
        <w:rPr>
          <w:rFonts w:ascii="Times New Roman" w:hAnsi="Times New Roman"/>
          <w:b w:val="0"/>
          <w:i w:val="0"/>
          <w:sz w:val="16"/>
        </w:rPr>
        <w:t xml:space="preserve">[2] L. Ducas, E. Kiltz, T. Lepoint, V. Lyubashevsky, P. Schwabe, G. Seiler, and D. Stehlé, “CRYSTALS-Dilithium: A lattice-based digital signature scheme,” </w:t>
      </w:r>
      <w:r>
        <w:rPr>
          <w:rFonts w:ascii="Times New Roman" w:hAnsi="Times New Roman"/>
          <w:b w:val="0"/>
          <w:i/>
          <w:sz w:val="16"/>
        </w:rPr>
        <w:t>IACR Trans. Cryptogr. Hardw. Embed. Syst., vol. 2018, no. 1, pp. 238–268, 2018.</w:t>
      </w:r>
    </w:p>
    <w:p>
      <w:pPr>
        <w:spacing w:after="20"/>
        <w:ind w:left="432" w:hanging="432"/>
        <w:jc w:val="both"/>
      </w:pPr>
      <w:r>
        <w:rPr>
          <w:rFonts w:ascii="Times New Roman" w:hAnsi="Times New Roman"/>
          <w:b w:val="0"/>
          <w:i w:val="0"/>
          <w:sz w:val="16"/>
        </w:rPr>
        <w:t xml:space="preserve">[3] NIST, “Multi-Party Threshold Schemes: First Call for Submissions,” </w:t>
      </w:r>
      <w:r>
        <w:rPr>
          <w:rFonts w:ascii="Times New Roman" w:hAnsi="Times New Roman"/>
          <w:b w:val="0"/>
          <w:i/>
          <w:sz w:val="16"/>
        </w:rPr>
        <w:t>NIST IR 8214C, 2026.</w:t>
      </w:r>
    </w:p>
    <w:p>
      <w:pPr>
        <w:spacing w:after="20"/>
        <w:ind w:left="432" w:hanging="432"/>
        <w:jc w:val="both"/>
      </w:pPr>
      <w:r>
        <w:rPr>
          <w:rFonts w:ascii="Times New Roman" w:hAnsi="Times New Roman"/>
          <w:b w:val="0"/>
          <w:i w:val="0"/>
          <w:sz w:val="16"/>
        </w:rPr>
        <w:t xml:space="preserve">[4] S. Celi, R. del Pino, T. Espitau, G. Niot, and T. Prest, “Efficient threshold ML-DSA,” </w:t>
      </w:r>
      <w:r>
        <w:rPr>
          <w:rFonts w:ascii="Times New Roman" w:hAnsi="Times New Roman"/>
          <w:b w:val="0"/>
          <w:i/>
          <w:sz w:val="16"/>
        </w:rPr>
        <w:t>in Proc. USENIX Security Symp., 2026 (full version: IACR ePrint 2026/013).</w:t>
      </w:r>
    </w:p>
    <w:p>
      <w:pPr>
        <w:spacing w:after="20"/>
        <w:ind w:left="432" w:hanging="432"/>
        <w:jc w:val="both"/>
      </w:pPr>
      <w:r>
        <w:rPr>
          <w:rFonts w:ascii="Times New Roman" w:hAnsi="Times New Roman"/>
          <w:b w:val="0"/>
          <w:i w:val="0"/>
          <w:sz w:val="16"/>
        </w:rPr>
        <w:t xml:space="preserve">[5] G. Borin, S. Celi, R. del Pino, T. Espitau, G. Niot, and T. Prest, “Threshold signatures reloaded: ML-DSA and enhanced Raccoon with identifiable aborts,” </w:t>
      </w:r>
      <w:r>
        <w:rPr>
          <w:rFonts w:ascii="Times New Roman" w:hAnsi="Times New Roman"/>
          <w:b w:val="0"/>
          <w:i/>
          <w:sz w:val="16"/>
        </w:rPr>
        <w:t>IACR ePrint 2025/1166, 2025 (withdrawn May 2026).</w:t>
      </w:r>
    </w:p>
    <w:p>
      <w:pPr>
        <w:spacing w:after="20"/>
        <w:ind w:left="432" w:hanging="432"/>
        <w:jc w:val="both"/>
      </w:pPr>
      <w:r>
        <w:rPr>
          <w:rFonts w:ascii="Times New Roman" w:hAnsi="Times New Roman"/>
          <w:b w:val="0"/>
          <w:i w:val="0"/>
          <w:sz w:val="16"/>
        </w:rPr>
        <w:t xml:space="preserve">[6] S. Celi et al., “Poster: Efficient threshold ML-DSA up to 6 parties,” </w:t>
      </w:r>
      <w:r>
        <w:rPr>
          <w:rFonts w:ascii="Times New Roman" w:hAnsi="Times New Roman"/>
          <w:b w:val="0"/>
          <w:i/>
          <w:sz w:val="16"/>
        </w:rPr>
        <w:t>in Proc. ACM CCS, 2025, doi:10.1145/3719027.3760739.</w:t>
      </w:r>
    </w:p>
    <w:p>
      <w:pPr>
        <w:spacing w:after="20"/>
        <w:ind w:left="432" w:hanging="432"/>
        <w:jc w:val="both"/>
      </w:pPr>
      <w:r>
        <w:rPr>
          <w:rFonts w:ascii="Times New Roman" w:hAnsi="Times New Roman"/>
          <w:b w:val="0"/>
          <w:i w:val="0"/>
          <w:sz w:val="16"/>
        </w:rPr>
        <w:t xml:space="preserve">[7] S. Celi, G. Delerue, R. del Pino, T. Espitau, G. Niot, and T. Prest, “Mithril: Efficient threshold ML-DSA from secret sharing with short shares,” </w:t>
      </w:r>
      <w:r>
        <w:rPr>
          <w:rFonts w:ascii="Times New Roman" w:hAnsi="Times New Roman"/>
          <w:b w:val="0"/>
          <w:i/>
          <w:sz w:val="16"/>
        </w:rPr>
        <w:t>NIST MPTC First Call preview writeup v1.0, Jan. 2026.</w:t>
      </w:r>
    </w:p>
    <w:p>
      <w:pPr>
        <w:spacing w:after="20"/>
        <w:ind w:left="432" w:hanging="432"/>
        <w:jc w:val="both"/>
      </w:pPr>
      <w:r>
        <w:rPr>
          <w:rFonts w:ascii="Times New Roman" w:hAnsi="Times New Roman"/>
          <w:b w:val="0"/>
          <w:i w:val="0"/>
          <w:sz w:val="16"/>
        </w:rPr>
        <w:t xml:space="preserve">[8] A. Bienstock, L. de Castro, D. Escudero, A. Polychroniadou, and A. Takahashi, “Quorus: Efficient, scalable threshold ML-DSA signatures from MPC,” </w:t>
      </w:r>
      <w:r>
        <w:rPr>
          <w:rFonts w:ascii="Times New Roman" w:hAnsi="Times New Roman"/>
          <w:b w:val="0"/>
          <w:i/>
          <w:sz w:val="16"/>
        </w:rPr>
        <w:t>in Proc. USENIX Security Symp., 2026 (full version: IACR ePrint 2025/1163).</w:t>
      </w:r>
    </w:p>
    <w:p>
      <w:pPr>
        <w:spacing w:after="20"/>
        <w:ind w:left="432" w:hanging="432"/>
        <w:jc w:val="both"/>
      </w:pPr>
      <w:r>
        <w:rPr>
          <w:rFonts w:ascii="Times New Roman" w:hAnsi="Times New Roman"/>
          <w:b w:val="0"/>
          <w:i w:val="0"/>
          <w:sz w:val="16"/>
        </w:rPr>
        <w:t xml:space="preserve">[9] A. Dufka, S. Kravtšenko, P. Laud, and N. Snetkov, “Trilithium: Efficient and universally composable distributed ML-DSA signing,” </w:t>
      </w:r>
      <w:r>
        <w:rPr>
          <w:rFonts w:ascii="Times New Roman" w:hAnsi="Times New Roman"/>
          <w:b w:val="0"/>
          <w:i/>
          <w:sz w:val="16"/>
        </w:rPr>
        <w:t>IACR ePrint 2025/675, 2025; see also SplitForge, SplitKey preview writeup v0.1, NIST MPTC, Jan. 2026.</w:t>
      </w:r>
    </w:p>
    <w:p>
      <w:pPr>
        <w:spacing w:after="20"/>
        <w:ind w:left="432" w:hanging="432"/>
        <w:jc w:val="both"/>
      </w:pPr>
      <w:r>
        <w:rPr>
          <w:rFonts w:ascii="Times New Roman" w:hAnsi="Times New Roman"/>
          <w:b w:val="0"/>
          <w:i w:val="0"/>
          <w:sz w:val="16"/>
        </w:rPr>
        <w:t xml:space="preserve">[10] L. Kao and R. Chang, “TALUS: FIPS-204-exact threshold ML-DSA via boundary clearance,” </w:t>
      </w:r>
      <w:r>
        <w:rPr>
          <w:rFonts w:ascii="Times New Roman" w:hAnsi="Times New Roman"/>
          <w:b w:val="0"/>
          <w:i/>
          <w:sz w:val="16"/>
        </w:rPr>
        <w:t>arXiv:2603.22109, 2026.</w:t>
      </w:r>
    </w:p>
    <w:p>
      <w:pPr>
        <w:spacing w:after="20"/>
        <w:ind w:left="432" w:hanging="432"/>
        <w:jc w:val="both"/>
      </w:pPr>
      <w:r>
        <w:rPr>
          <w:rFonts w:ascii="Times New Roman" w:hAnsi="Times New Roman"/>
          <w:b w:val="0"/>
          <w:i w:val="0"/>
          <w:sz w:val="16"/>
        </w:rPr>
        <w:t xml:space="preserve">[11] L. Kao and R. Chang, “TALUS: FIPS-204-exact threshold ML-DSA via boundary clearance (preview writeup v0.22),” </w:t>
      </w:r>
      <w:r>
        <w:rPr>
          <w:rFonts w:ascii="Times New Roman" w:hAnsi="Times New Roman"/>
          <w:b w:val="0"/>
          <w:i/>
          <w:sz w:val="16"/>
        </w:rPr>
        <w:t>NIST MPTC First Call, Aug. 2026.</w:t>
      </w:r>
    </w:p>
    <w:p>
      <w:pPr>
        <w:spacing w:after="20"/>
        <w:ind w:left="432" w:hanging="432"/>
        <w:jc w:val="both"/>
      </w:pPr>
      <w:r>
        <w:rPr>
          <w:rFonts w:ascii="Times New Roman" w:hAnsi="Times New Roman"/>
          <w:b w:val="0"/>
          <w:i w:val="0"/>
          <w:sz w:val="16"/>
        </w:rPr>
        <w:t xml:space="preserve">[12] L. Kao, “FIPS 204-compatible threshold ML-DSA via Shamir nonce DKG,” </w:t>
      </w:r>
      <w:r>
        <w:rPr>
          <w:rFonts w:ascii="Times New Roman" w:hAnsi="Times New Roman"/>
          <w:b w:val="0"/>
          <w:i/>
          <w:sz w:val="16"/>
        </w:rPr>
        <w:t>arXiv:2601.20917, 2026.</w:t>
      </w:r>
    </w:p>
    <w:p>
      <w:pPr>
        <w:spacing w:after="20"/>
        <w:ind w:left="432" w:hanging="432"/>
        <w:jc w:val="both"/>
      </w:pPr>
      <w:r>
        <w:rPr>
          <w:rFonts w:ascii="Times New Roman" w:hAnsi="Times New Roman"/>
          <w:b w:val="0"/>
          <w:i w:val="0"/>
          <w:sz w:val="16"/>
        </w:rPr>
        <w:t xml:space="preserve">[13] G. Niot, “Key-recovery attacks on TALUS: A cryptanalytic note,” </w:t>
      </w:r>
      <w:r>
        <w:rPr>
          <w:rFonts w:ascii="Times New Roman" w:hAnsi="Times New Roman"/>
          <w:b w:val="0"/>
          <w:i/>
          <w:sz w:val="16"/>
        </w:rPr>
        <w:t>IACR ePrint 2026/1386, Jul. 2026.</w:t>
      </w:r>
    </w:p>
    <w:p>
      <w:pPr>
        <w:spacing w:after="20"/>
        <w:ind w:left="432" w:hanging="432"/>
        <w:jc w:val="both"/>
      </w:pPr>
      <w:r>
        <w:rPr>
          <w:rFonts w:ascii="Times New Roman" w:hAnsi="Times New Roman"/>
          <w:b w:val="0"/>
          <w:i w:val="0"/>
          <w:sz w:val="16"/>
        </w:rPr>
        <w:t xml:space="preserve">[14] R. del Pino, S. Katsumata, M. Maller, F. Mouhartem, T. Prest, and M.-J. Saarinen, “Threshold Raccoon: Practical threshold signatures from standard lattice assumptions,” </w:t>
      </w:r>
      <w:r>
        <w:rPr>
          <w:rFonts w:ascii="Times New Roman" w:hAnsi="Times New Roman"/>
          <w:b w:val="0"/>
          <w:i/>
          <w:sz w:val="16"/>
        </w:rPr>
        <w:t>in Proc. EUROCRYPT 2024, LNCS 14652, 2024.</w:t>
      </w:r>
    </w:p>
    <w:p>
      <w:pPr>
        <w:spacing w:after="20"/>
        <w:ind w:left="432" w:hanging="432"/>
        <w:jc w:val="both"/>
      </w:pPr>
      <w:r>
        <w:rPr>
          <w:rFonts w:ascii="Times New Roman" w:hAnsi="Times New Roman"/>
          <w:b w:val="0"/>
          <w:i w:val="0"/>
          <w:sz w:val="16"/>
        </w:rPr>
        <w:t xml:space="preserve">[15] R. del Pino, T. Espitau, G. Niot, and T. Prest, “Simple and efficient lattice threshold signatures with identifiable aborts,” </w:t>
      </w:r>
      <w:r>
        <w:rPr>
          <w:rFonts w:ascii="Times New Roman" w:hAnsi="Times New Roman"/>
          <w:b w:val="0"/>
          <w:i/>
          <w:sz w:val="16"/>
        </w:rPr>
        <w:t>IACR ePrint 2025/871, 2025 (withdrawn May 2026).</w:t>
      </w:r>
    </w:p>
    <w:p>
      <w:pPr>
        <w:spacing w:after="20"/>
        <w:ind w:left="432" w:hanging="432"/>
        <w:jc w:val="both"/>
      </w:pPr>
      <w:r>
        <w:rPr>
          <w:rFonts w:ascii="Times New Roman" w:hAnsi="Times New Roman"/>
          <w:b w:val="0"/>
          <w:i w:val="0"/>
          <w:sz w:val="16"/>
        </w:rPr>
        <w:t xml:space="preserve">[16] K. D. Gür, J. Katz, and T. Silde, “Two-round threshold lattice-based signatures from threshold homomorphic encryption,” </w:t>
      </w:r>
      <w:r>
        <w:rPr>
          <w:rFonts w:ascii="Times New Roman" w:hAnsi="Times New Roman"/>
          <w:b w:val="0"/>
          <w:i/>
          <w:sz w:val="16"/>
        </w:rPr>
        <w:t>in Proc. PQCrypto 2024, LNCS 14772, 2024.</w:t>
      </w:r>
    </w:p>
    <w:p>
      <w:pPr>
        <w:spacing w:after="20"/>
        <w:ind w:left="432" w:hanging="432"/>
        <w:jc w:val="both"/>
      </w:pPr>
      <w:r>
        <w:rPr>
          <w:rFonts w:ascii="Times New Roman" w:hAnsi="Times New Roman"/>
          <w:b w:val="0"/>
          <w:i w:val="0"/>
          <w:sz w:val="16"/>
        </w:rPr>
        <w:t xml:space="preserve">[17] J. Bootle, C. Delaplace, T. Espitau, P.-A. Fouque, and M. Tibouchi, “LWE without modular reduction and improved side-channel attacks against BLISS,” </w:t>
      </w:r>
      <w:r>
        <w:rPr>
          <w:rFonts w:ascii="Times New Roman" w:hAnsi="Times New Roman"/>
          <w:b w:val="0"/>
          <w:i/>
          <w:sz w:val="16"/>
        </w:rPr>
        <w:t>in Proc. ASIACRYPT 2018, LNCS 11272, pp. 494–524, 2018.</w:t>
      </w:r>
    </w:p>
    <w:p>
      <w:pPr>
        <w:spacing w:after="20"/>
        <w:ind w:left="432" w:hanging="432"/>
        <w:jc w:val="both"/>
      </w:pPr>
      <w:r>
        <w:rPr>
          <w:rFonts w:ascii="Times New Roman" w:hAnsi="Times New Roman"/>
          <w:b w:val="0"/>
          <w:i w:val="0"/>
          <w:sz w:val="16"/>
        </w:rPr>
        <w:t xml:space="preserve">[18] Y. Zhou, W. Wang, Y. Sun, and Y. Yu, “Rejected signatures’ challenges pose new challenges: Key recovery of CRYSTALS-Dilithium via side-channel attacks,” </w:t>
      </w:r>
      <w:r>
        <w:rPr>
          <w:rFonts w:ascii="Times New Roman" w:hAnsi="Times New Roman"/>
          <w:b w:val="0"/>
          <w:i/>
          <w:sz w:val="16"/>
        </w:rPr>
        <w:t>IACR Trans. Cryptogr. Hardw. Embed. Syst., 2025 (ePrint 2025/214).</w:t>
      </w:r>
    </w:p>
    <w:p>
      <w:pPr>
        <w:spacing w:after="20"/>
        <w:ind w:left="432" w:hanging="432"/>
        <w:jc w:val="both"/>
      </w:pPr>
      <w:r>
        <w:rPr>
          <w:rFonts w:ascii="Times New Roman" w:hAnsi="Times New Roman"/>
          <w:b w:val="0"/>
          <w:i w:val="0"/>
          <w:sz w:val="16"/>
        </w:rPr>
        <w:t xml:space="preserve">[19] S. Damm et al., “Solving concealed ILWE and its application for breaking masked Dilithium,” </w:t>
      </w:r>
      <w:r>
        <w:rPr>
          <w:rFonts w:ascii="Times New Roman" w:hAnsi="Times New Roman"/>
          <w:b w:val="0"/>
          <w:i/>
          <w:sz w:val="16"/>
        </w:rPr>
        <w:t>in Proc. ASIACRYPT 2025 (ePrint 2025/1629).</w:t>
      </w:r>
    </w:p>
    <w:p>
      <w:pPr>
        <w:spacing w:after="20"/>
        <w:ind w:left="432" w:hanging="432"/>
        <w:jc w:val="both"/>
      </w:pPr>
      <w:r>
        <w:rPr>
          <w:rFonts w:ascii="Times New Roman" w:hAnsi="Times New Roman"/>
          <w:b w:val="0"/>
          <w:i w:val="0"/>
          <w:sz w:val="16"/>
        </w:rPr>
        <w:t xml:space="preserve">[20] K. Yates, A. Pierrottet, A. Al Mamun, R. Cartor, M. Chowdhury, and S. Gao, “Security analysis of integer learning with errors with rejection sampling,” </w:t>
      </w:r>
      <w:r>
        <w:rPr>
          <w:rFonts w:ascii="Times New Roman" w:hAnsi="Times New Roman"/>
          <w:b w:val="0"/>
          <w:i/>
          <w:sz w:val="16"/>
        </w:rPr>
        <w:t>arXiv:2512.08172, Dec. 2025.</w:t>
      </w:r>
    </w:p>
    <w:p>
      <w:pPr>
        <w:spacing w:after="20"/>
        <w:ind w:left="432" w:hanging="432"/>
        <w:jc w:val="both"/>
      </w:pPr>
      <w:r>
        <w:rPr>
          <w:rFonts w:ascii="Times New Roman" w:hAnsi="Times New Roman"/>
          <w:b w:val="0"/>
          <w:i w:val="0"/>
          <w:sz w:val="16"/>
        </w:rPr>
        <w:t xml:space="preserve">[21] A. Shamir, “How to share a secret,” </w:t>
      </w:r>
      <w:r>
        <w:rPr>
          <w:rFonts w:ascii="Times New Roman" w:hAnsi="Times New Roman"/>
          <w:b w:val="0"/>
          <w:i/>
          <w:sz w:val="16"/>
        </w:rPr>
        <w:t>Commun. ACM, vol. 22, no. 11, pp. 612–613, 1979.</w:t>
      </w:r>
    </w:p>
    <w:p>
      <w:pPr>
        <w:spacing w:after="20"/>
        <w:ind w:left="432" w:hanging="432"/>
        <w:jc w:val="both"/>
      </w:pPr>
      <w:r>
        <w:rPr>
          <w:rFonts w:ascii="Times New Roman" w:hAnsi="Times New Roman"/>
          <w:b w:val="0"/>
          <w:i w:val="0"/>
          <w:sz w:val="16"/>
        </w:rPr>
        <w:t xml:space="preserve">[22] P. Feldman, “A practical scheme for non-interactive verifiable secret sharing,” </w:t>
      </w:r>
      <w:r>
        <w:rPr>
          <w:rFonts w:ascii="Times New Roman" w:hAnsi="Times New Roman"/>
          <w:b w:val="0"/>
          <w:i/>
          <w:sz w:val="16"/>
        </w:rPr>
        <w:t>in Proc. IEEE FOCS, 1987, pp. 427–438.</w:t>
      </w:r>
    </w:p>
    <w:p>
      <w:pPr>
        <w:spacing w:after="20"/>
        <w:ind w:left="432" w:hanging="432"/>
        <w:jc w:val="both"/>
      </w:pPr>
      <w:r>
        <w:rPr>
          <w:rFonts w:ascii="Times New Roman" w:hAnsi="Times New Roman"/>
          <w:b w:val="0"/>
          <w:i w:val="0"/>
          <w:sz w:val="16"/>
        </w:rPr>
        <w:t xml:space="preserve">[23] C. Komlo and I. Goldberg, “FROST: Flexible round-optimized Schnorr threshold signatures,” </w:t>
      </w:r>
      <w:r>
        <w:rPr>
          <w:rFonts w:ascii="Times New Roman" w:hAnsi="Times New Roman"/>
          <w:b w:val="0"/>
          <w:i/>
          <w:sz w:val="16"/>
        </w:rPr>
        <w:t>in Proc. SAC 2020, LNCS 12804, 2021, pp. 34–65.</w:t>
      </w:r>
    </w:p>
    <w:p>
      <w:pPr>
        <w:spacing w:after="20"/>
        <w:ind w:left="432" w:hanging="432"/>
        <w:jc w:val="both"/>
      </w:pPr>
      <w:r>
        <w:rPr>
          <w:rFonts w:ascii="Times New Roman" w:hAnsi="Times New Roman"/>
          <w:b w:val="0"/>
          <w:i w:val="0"/>
          <w:sz w:val="16"/>
        </w:rPr>
        <w:t xml:space="preserve">[24] R. del Pino and G. Niot, “Finally! A compact lattice-based threshold signature,” </w:t>
      </w:r>
      <w:r>
        <w:rPr>
          <w:rFonts w:ascii="Times New Roman" w:hAnsi="Times New Roman"/>
          <w:b w:val="0"/>
          <w:i/>
          <w:sz w:val="16"/>
        </w:rPr>
        <w:t>in Proc. PKC 2025, Part III, LNCS 15676, 2025, pp. 169–199.</w:t>
      </w:r>
    </w:p>
    <w:p>
      <w:pPr>
        <w:spacing w:after="20"/>
        <w:ind w:left="432" w:hanging="432"/>
        <w:jc w:val="both"/>
      </w:pPr>
      <w:r>
        <w:rPr>
          <w:rFonts w:ascii="Times New Roman" w:hAnsi="Times New Roman"/>
          <w:b w:val="0"/>
          <w:i w:val="0"/>
          <w:sz w:val="16"/>
        </w:rPr>
        <w:t xml:space="preserve">[25] T. Devevey, O. Fawzi, A. Passelègue, and D. Stehlé, “On rejection sampling in Lyubashevsky’s signature scheme,” </w:t>
      </w:r>
      <w:r>
        <w:rPr>
          <w:rFonts w:ascii="Times New Roman" w:hAnsi="Times New Roman"/>
          <w:b w:val="0"/>
          <w:i/>
          <w:sz w:val="16"/>
        </w:rPr>
        <w:t>in Proc. ASIACRYPT 2022, LNCS 13794, pp. 34–64, 2022 (full version: IACR ePrint 2022/1249).</w:t>
      </w:r>
    </w:p>
    <w:sectPr w:rsidR="00FC693F" w:rsidRPr="0006063C" w:rsidSect="00034616">
      <w:type w:val="continuous"/>
      <w:pgSz w:w="11909" w:h="16834"/>
      <w:pgMar w:top="1152" w:right="1080" w:bottom="1152" w:left="108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