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Suyash Mangla Dashboard Report</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Insights -</w:t>
      </w:r>
    </w:p>
    <w:p w:rsidR="00000000" w:rsidDel="00000000" w:rsidP="00000000" w:rsidRDefault="00000000" w:rsidRPr="00000000" w14:paraId="00000004">
      <w:pPr>
        <w:numPr>
          <w:ilvl w:val="0"/>
          <w:numId w:val="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Sales</w:t>
      </w:r>
      <w:r w:rsidDel="00000000" w:rsidR="00000000" w:rsidRPr="00000000">
        <w:rPr>
          <w:rFonts w:ascii="Times New Roman" w:cs="Times New Roman" w:eastAsia="Times New Roman" w:hAnsi="Times New Roman"/>
          <w:sz w:val="24"/>
          <w:szCs w:val="24"/>
          <w:rtl w:val="0"/>
        </w:rPr>
        <w:t xml:space="preserve">: ₹10,032,628.85 across all products and regions.</w:t>
      </w:r>
    </w:p>
    <w:p w:rsidR="00000000" w:rsidDel="00000000" w:rsidP="00000000" w:rsidRDefault="00000000" w:rsidRPr="00000000" w14:paraId="00000005">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Top Product 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Classic Cars</w:t>
      </w:r>
      <w:r w:rsidDel="00000000" w:rsidR="00000000" w:rsidRPr="00000000">
        <w:rPr>
          <w:rFonts w:ascii="Times New Roman" w:cs="Times New Roman" w:eastAsia="Times New Roman" w:hAnsi="Times New Roman"/>
          <w:sz w:val="24"/>
          <w:szCs w:val="24"/>
          <w:rtl w:val="0"/>
        </w:rPr>
        <w:t xml:space="preserve"> lead by a significant margin (~₹3.9M), followed by </w:t>
      </w:r>
      <w:r w:rsidDel="00000000" w:rsidR="00000000" w:rsidRPr="00000000">
        <w:rPr>
          <w:rFonts w:ascii="Times New Roman" w:cs="Times New Roman" w:eastAsia="Times New Roman" w:hAnsi="Times New Roman"/>
          <w:i w:val="1"/>
          <w:sz w:val="24"/>
          <w:szCs w:val="24"/>
          <w:rtl w:val="0"/>
        </w:rPr>
        <w:t xml:space="preserve">Vintage Cars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Motorcycles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Top 5 Products</w:t>
      </w:r>
      <w:r w:rsidDel="00000000" w:rsidR="00000000" w:rsidRPr="00000000">
        <w:rPr>
          <w:rFonts w:ascii="Times New Roman" w:cs="Times New Roman" w:eastAsia="Times New Roman" w:hAnsi="Times New Roman"/>
          <w:sz w:val="24"/>
          <w:szCs w:val="24"/>
          <w:rtl w:val="0"/>
        </w:rPr>
        <w:t xml:space="preserve">: Dominated by high-value categories like </w:t>
      </w:r>
      <w:r w:rsidDel="00000000" w:rsidR="00000000" w:rsidRPr="00000000">
        <w:rPr>
          <w:rFonts w:ascii="Times New Roman" w:cs="Times New Roman" w:eastAsia="Times New Roman" w:hAnsi="Times New Roman"/>
          <w:i w:val="1"/>
          <w:sz w:val="24"/>
          <w:szCs w:val="24"/>
          <w:rtl w:val="0"/>
        </w:rPr>
        <w:t xml:space="preserve">Classic Cars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Planes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Performance</w:t>
      </w:r>
      <w:r w:rsidDel="00000000" w:rsidR="00000000" w:rsidRPr="00000000">
        <w:rPr>
          <w:rFonts w:ascii="Times New Roman" w:cs="Times New Roman" w:eastAsia="Times New Roman" w:hAnsi="Times New Roman"/>
          <w:sz w:val="24"/>
          <w:szCs w:val="24"/>
          <w:rtl w:val="0"/>
        </w:rPr>
        <w:t xml:space="preserve">: Strong sales in major cities like </w:t>
      </w:r>
      <w:r w:rsidDel="00000000" w:rsidR="00000000" w:rsidRPr="00000000">
        <w:rPr>
          <w:rFonts w:ascii="Times New Roman" w:cs="Times New Roman" w:eastAsia="Times New Roman" w:hAnsi="Times New Roman"/>
          <w:i w:val="1"/>
          <w:sz w:val="24"/>
          <w:szCs w:val="24"/>
          <w:rtl w:val="0"/>
        </w:rPr>
        <w:t xml:space="preserve">San Francisco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Philadelphia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Tokyo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Sydney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1"/>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Monthly Trend</w:t>
      </w:r>
      <w:r w:rsidDel="00000000" w:rsidR="00000000" w:rsidRPr="00000000">
        <w:rPr>
          <w:rFonts w:ascii="Times New Roman" w:cs="Times New Roman" w:eastAsia="Times New Roman" w:hAnsi="Times New Roman"/>
          <w:sz w:val="24"/>
          <w:szCs w:val="24"/>
          <w:rtl w:val="0"/>
        </w:rPr>
        <w:t xml:space="preserve">: Notable sales spike in </w:t>
      </w:r>
      <w:r w:rsidDel="00000000" w:rsidR="00000000" w:rsidRPr="00000000">
        <w:rPr>
          <w:rFonts w:ascii="Times New Roman" w:cs="Times New Roman" w:eastAsia="Times New Roman" w:hAnsi="Times New Roman"/>
          <w:b w:val="1"/>
          <w:sz w:val="24"/>
          <w:szCs w:val="24"/>
          <w:rtl w:val="0"/>
        </w:rPr>
        <w:t xml:space="preserve">November</w:t>
      </w:r>
      <w:r w:rsidDel="00000000" w:rsidR="00000000" w:rsidRPr="00000000">
        <w:rPr>
          <w:rFonts w:ascii="Times New Roman" w:cs="Times New Roman" w:eastAsia="Times New Roman" w:hAnsi="Times New Roman"/>
          <w:sz w:val="24"/>
          <w:szCs w:val="24"/>
          <w:rtl w:val="0"/>
        </w:rPr>
        <w:t xml:space="preserve"> (~₹2.1M), suggesting seasonal impact or promotion.</w:t>
      </w:r>
    </w:p>
    <w:p w:rsidR="00000000" w:rsidDel="00000000" w:rsidP="00000000" w:rsidRDefault="00000000" w:rsidRPr="00000000" w14:paraId="00000009">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8x1om23gm0q3" w:id="0"/>
      <w:bookmarkEnd w:id="0"/>
      <w:r w:rsidDel="00000000" w:rsidR="00000000" w:rsidRPr="00000000">
        <w:rPr>
          <w:rFonts w:ascii="Times New Roman" w:cs="Times New Roman" w:eastAsia="Times New Roman" w:hAnsi="Times New Roman"/>
          <w:b w:val="1"/>
          <w:color w:val="000000"/>
          <w:rtl w:val="0"/>
        </w:rPr>
        <w:t xml:space="preserve">Design Decisions-</w:t>
      </w:r>
    </w:p>
    <w:p w:rsidR="00000000" w:rsidDel="00000000" w:rsidP="00000000" w:rsidRDefault="00000000" w:rsidRPr="00000000" w14:paraId="0000000A">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Bold Consolas text &amp; bright colours for clarity.</w:t>
      </w:r>
    </w:p>
    <w:p w:rsidR="00000000" w:rsidDel="00000000" w:rsidP="00000000" w:rsidRDefault="00000000" w:rsidRPr="00000000" w14:paraId="0000000B">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mix of bar charts, line graphs, and maps improves visual interest and data accessibility.</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Regional Sales Distribution</w:t>
      </w:r>
      <w:r w:rsidDel="00000000" w:rsidR="00000000" w:rsidRPr="00000000">
        <w:rPr>
          <w:rFonts w:ascii="Times New Roman" w:cs="Times New Roman" w:eastAsia="Times New Roman" w:hAnsi="Times New Roman"/>
          <w:sz w:val="24"/>
          <w:szCs w:val="24"/>
          <w:rtl w:val="0"/>
        </w:rPr>
        <w:t xml:space="preserve"> map makes it easy to understand geographic performance visually.</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slicers for Region, Product Category, and Date Range are strategically placed at the center of the dashboard for easy accessibility</w:t>
      </w:r>
    </w:p>
    <w:p w:rsidR="00000000" w:rsidDel="00000000" w:rsidP="00000000" w:rsidRDefault="00000000" w:rsidRPr="00000000" w14:paraId="0000000E">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Top 5 Product Categories by Sales chart uses varying shades of the same color — from dark to light — to visually represent sales volume, with darker shades indicating higher sales.</w:t>
      </w:r>
    </w:p>
    <w:p w:rsidR="00000000" w:rsidDel="00000000" w:rsidP="00000000" w:rsidRDefault="00000000" w:rsidRPr="00000000" w14:paraId="0000000F">
      <w:pPr>
        <w:numPr>
          <w:ilvl w:val="0"/>
          <w:numId w:val="2"/>
        </w:numPr>
        <w:spacing w:after="24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 A light grey background was applied to the canvas enhance the contrast between the dashboard elements and the page background. This improves readability and ensures that key visuals stand out more distinctly.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Faced-</w:t>
      </w:r>
    </w:p>
    <w:p w:rsidR="00000000" w:rsidDel="00000000" w:rsidP="00000000" w:rsidRDefault="00000000" w:rsidRPr="00000000" w14:paraId="00000011">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PowerBi desktop can not be installed in mac.</w:t>
      </w:r>
    </w:p>
    <w:p w:rsidR="00000000" w:rsidDel="00000000" w:rsidP="00000000" w:rsidRDefault="00000000" w:rsidRPr="00000000" w14:paraId="00000012">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attempted to use Parallels Desktop, but it didn't work either.</w:t>
      </w:r>
    </w:p>
    <w:p w:rsidR="00000000" w:rsidDel="00000000" w:rsidP="00000000" w:rsidRDefault="00000000" w:rsidRPr="00000000" w14:paraId="00000013">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web version does not allow us to use dax so we were not able to calculate Revenue by the formula mentioned in the assignment.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