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Design Rationale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Top KPIs (Scorecards):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Highlight core metrics like Clicks, CPC, and ROI for quick performance snapshot.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COST vs ROI by Channel: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Dual-bar chart for visual comparison of ad spend and returns across platforms.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Demographic Insights Table: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Shows engagement across age, gender, and device to support audience targeting.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Regional Engagement Map: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Bubble map highlights top-performing regions like North America and Europe.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 Format + Campaign Table: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Heatmap table to identify best-performing ad combinations (e.g., Text + Consideration).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Conversion vs Bounce Bar Chart: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Illustrates trade-offs between conversion success and audience retention.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Device Pattern Chart: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Displays CTR by device across age groups to identify high-engagement segments.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Channel Comparison Table: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Color-coded table summarizing key performance metrics by platform.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Interactive Filters: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Channel and Age Group selectors allow user-driven exploration.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Color &amp; Layout Logic: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Strategic color use (blue/yellow for KPIs, heatmap for performance) ensures readability and insight clarity.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KEY INSIGHTS –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Assumptions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Created a new field called ROI based on the assumed value of $500 per conversion.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8"/>
          <w:szCs w:val="28"/>
        </w:rPr>
      </w:pPr>
      <w:bookmarkStart w:colFirst="0" w:colLast="0" w:name="_49c9wflfcwj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Best ROI Channels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Email and Twitter: High ROI with lower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8"/>
          <w:szCs w:val="28"/>
        </w:rPr>
      </w:pPr>
      <w:bookmarkStart w:colFirst="0" w:colLast="0" w:name="_2mwicjcfee2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Underperforming Channels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Instagram, Facebook, Google Ads: High spend but low returns.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90yvrrj396u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Top Engaged Segments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idwenddpbo0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Age Group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18–24 leads in CTR.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3d1418fvi3k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Females engage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color w:val="434343"/>
          <w:sz w:val="28"/>
          <w:szCs w:val="28"/>
        </w:rPr>
      </w:pPr>
      <w:bookmarkStart w:colFirst="0" w:colLast="0" w:name="_looqnjdhs91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North America &amp; Europe show strongest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b w:val="1"/>
          <w:sz w:val="32"/>
          <w:szCs w:val="32"/>
        </w:rPr>
      </w:pPr>
      <w:bookmarkStart w:colFirst="0" w:colLast="0" w:name="_ld3kkh85ux2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Device Patterns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Desktops + Older Users (45–54, 55+) have the highest CTRs.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2"/>
        </w:numPr>
        <w:spacing w:after="0" w:before="0" w:line="276" w:lineRule="auto"/>
        <w:ind w:left="720" w:hanging="360"/>
        <w:rPr>
          <w:b w:val="1"/>
          <w:sz w:val="32"/>
          <w:szCs w:val="32"/>
        </w:rPr>
      </w:pPr>
      <w:bookmarkStart w:colFirst="0" w:colLast="0" w:name="_1bhrovff4zp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Top Performing Combo: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Text + Consideration campaigns with </w:t>
        <w:br w:type="textWrapping"/>
        <w:t xml:space="preserve">Highest CTR (1,836.8),Conversion Rate (1,554.4) &amp; Highest CPC (42.7).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2"/>
        </w:numPr>
        <w:spacing w:after="0" w:before="0" w:line="276" w:lineRule="auto"/>
        <w:ind w:left="720" w:hanging="360"/>
        <w:rPr>
          <w:b w:val="1"/>
          <w:sz w:val="32"/>
          <w:szCs w:val="32"/>
        </w:rPr>
      </w:pPr>
      <w:bookmarkStart w:colFirst="0" w:colLast="0" w:name="_qi0vyh9670j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Best Cost-Effective Format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Video ads with Strong CTR &amp; Conversion with low CPC.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2"/>
        </w:numPr>
        <w:spacing w:before="0" w:line="276" w:lineRule="auto"/>
        <w:ind w:left="720" w:hanging="360"/>
        <w:rPr>
          <w:b w:val="1"/>
          <w:sz w:val="26"/>
          <w:szCs w:val="26"/>
        </w:rPr>
      </w:pPr>
      <w:bookmarkStart w:colFirst="0" w:colLast="0" w:name="_6hvqo5qjfxc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Lower Performance Combo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Image ads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show Lower results despite low CPC 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Instagram and Email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achieved the highest impressions and conversions with moderate CPC.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had the highest CPC but still delivered strong ROI—indicating differing cost-efficiency dynamics across platforms.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216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Challenges Faced –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left="2160"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dataset lacks timestamp information within the date field, which limits our ability to analyze user behavior by hour. As a result, we were unable to identify peak posting times for different platforms.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Additionally, weekly comparisons of key metrics could not be displayed, as the data consistently returned “no data” despite multiple formatting and configuration attempts.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