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OzAgriMate Architecture and Farm API</w:t>
      </w:r>
    </w:p>
    <w:p>
      <w:r>
        <w:rPr>
          <w:b/>
        </w:rPr>
        <w:t>Pulkit Sharma | ISYS3459 Assignment 4 | 23 October 2026</w:t>
      </w:r>
    </w:p>
    <w:p>
      <w:r>
        <w:rPr>
          <w:b w:val="0"/>
        </w:rPr>
        <w:t>These sections document the proposed architecture decisions, container and deployment views, and implemented farm API contributed by Pulkit Sharma. The farm endpoints have passed the supplied Postman run. Architecture decisions remain Proposed pending team review.</w:t>
      </w:r>
    </w:p>
    <w:p>
      <w:pPr>
        <w:pStyle w:val="Heading1"/>
      </w:pPr>
      <w:r>
        <w:t>Design basis and scope</w:t>
      </w:r>
    </w:p>
    <w:p>
      <w:r>
        <w:rPr>
          <w:b w:val="0"/>
        </w:rPr>
        <w:t>The submitted Assignment 2 report identifies Scalability, Availability and Interoperability as the top three driving characteristics, alongside Security, Elasticity, Reliability / Safety and Performance. Its constraints require Australian processing and residency, offline field operation, managed operations for at most eight engineers and releases without planned seasonal downtime.</w:t>
      </w:r>
    </w:p>
    <w:p>
      <w:r>
        <w:rPr>
          <w:b w:val="0"/>
        </w:rPr>
        <w:t>Core scope covers telemetry, farm monitoring, irrigation management, alerts and AI-assisted advice. Carbon verification, autonomous dosing, commodity trading and agri-finance remain bounded extension capabilities. They are outside the eight-endpoint prototype; this contribution neither certifies carbon credits nor executes trades, lending decisions or physical dosing.</w:t>
      </w:r>
    </w:p>
    <w:p>
      <w:r>
        <w:rPr>
          <w:b w:val="0"/>
        </w:rPr>
        <w:t>Farm Owner and Farm Worker have separate responsibilities. Owners control sharing and consent; workers perform explicitly authorised operations. Agronomists and operations managers receive scoped access. Platform administration does not automatically grant permission to read farm records.</w:t>
      </w:r>
    </w:p>
    <w:p>
      <w:pPr>
        <w:pStyle w:val="Heading1"/>
      </w:pPr>
      <w:r>
        <w:t>Contribution coverage</w:t>
      </w:r>
    </w:p>
    <w:tbl>
      <w:tblPr>
        <w:tblW w:type="auto" w:w="0"/>
        <w:jc w:val="center"/>
        <w:tblLayout w:type="fixed"/>
        <w:tblLook w:firstColumn="1" w:firstRow="1" w:lastColumn="0" w:lastRow="0" w:noHBand="0" w:noVBand="1" w:val="04A0"/>
      </w:tblPr>
      <w:tblGrid>
        <w:gridCol w:w="2448"/>
        <w:gridCol w:w="7344"/>
      </w:tblGrid>
      <w:tr>
        <w:trPr>
          <w:tblHeade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8"/>
              </w:rPr>
              <w:t>Artefact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8"/>
              </w:rPr>
              <w:t>Scope and status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ADR-01</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Architectural style; Proposed</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ADR-05</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Security and farm-scoped authorisation; Proposed</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Container and deployment views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Target architecture; supplied as high-resolution figures and SVG sources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Farm API</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POST /farms and GET /farms/{farmId}; local implementation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Testing evidence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11 Postman scenarios, 33 assertions passed, zero failures and errors</w:t>
            </w:r>
          </w:p>
        </w:tc>
      </w:tr>
    </w:tbl>
    <w:p>
      <w:r>
        <w:rPr>
          <w:b w:val="0"/>
        </w:rPr>
      </w:r>
    </w:p>
    <w:p>
      <w:r>
        <w:rPr>
          <w:b w:val="0"/>
        </w:rPr>
        <w:t>Production QA targets require separate verification. The local prototype uses in-memory data and fixed demonstration identities; production OAuth, cloud infrastructure and the other six team endpoints are outside this contribution.</w:t>
      </w:r>
    </w:p>
    <w:p>
      <w:r>
        <w:br w:type="page"/>
      </w:r>
    </w:p>
    <w:p>
      <w:pPr>
        <w:pStyle w:val="Heading1"/>
      </w:pPr>
      <w:r>
        <w:t>ADR 01 Architectural style</w:t>
      </w:r>
    </w:p>
    <w:tbl>
      <w:tblPr>
        <w:tblW w:type="auto" w:w="0"/>
        <w:jc w:val="center"/>
        <w:tblLayout w:type="fixed"/>
        <w:tblLook w:firstColumn="1" w:firstRow="1" w:lastColumn="0" w:lastRow="0" w:noHBand="0" w:noVBand="1" w:val="04A0"/>
      </w:tblPr>
      <w:tblGrid>
        <w:gridCol w:w="1512"/>
        <w:gridCol w:w="8280"/>
      </w:tblGrid>
      <w:tr>
        <w:trPr>
          <w:tblHeade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20"/>
              </w:rPr>
              <w:t>Field</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20"/>
              </w:rPr>
              <w:t>Architectural decision record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Title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ADR-01 Adopt service-based architecture with asynchronous telemetry processing</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Status</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Proposed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Context</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OzAgriMate must grow from 5,000 to over 50,000 farms while supporting heterogeneous devices, rural outages, and seasonal load spikes. Constraints C4 and C5 require managed operations by at most eight engineers and releases without planned seasonal downtime. A layered monolith couples scaling and releases; fine-grained microservices increase operational overhead. Coarse-grained services offer a middle ground.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Decision</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Adopt service-based architecture with Farm Management, Telemetry, and Irrigation and Alerts services, plus an isolated AI Recommendation service. Use REST for immediate operations and managed durable messaging for telemetry-driven processing. Deploy on managed Australian-region infrastructure. Edge buffering and local approved schedules support disconnected farms. Coarse boundaries permit independent scaling and releases while limiting service proliferation. Isolating AI supports ASR21: baseline monitoring and alerts continue if recommendations fail.</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Consequences</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Independent scaling and failure isolation support seasonal growth and continuity. Distribution introduces network failures, eventual consistency, duplicate-message handling, contract management, and monitoring costs. Managed infrastructure reduces operational effort but creates vendor dependencies. Broker delivery requires idempotent consumers. The in-memory endpoint prototype demonstrates service structure, not production durability, elasticity, or uptime.</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Compliance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Review code boundaries against diagrams; verify API contracts and AI-independent alert flow. Validate seasonal scaling, failover, and rolling releases through production-like load and resilience tests.</w:t>
            </w:r>
          </w:p>
        </w:tc>
      </w:tr>
    </w:tbl>
    <w:p>
      <w:r>
        <w:rPr>
          <w:b w:val="0"/>
        </w:rPr>
      </w:r>
    </w:p>
    <w:p>
      <w:r>
        <w:rPr>
          <w:b w:val="0"/>
        </w:rPr>
        <w:t>Traceability: ASR3, ASR12, ASR15, ASR21, ASR22; constraints C1-C5. This style decision supports several QAs but does not replace the four dedicated QA ADRs.</w:t>
      </w:r>
    </w:p>
    <w:p>
      <w:r>
        <w:br w:type="page"/>
      </w:r>
    </w:p>
    <w:p>
      <w:pPr>
        <w:pStyle w:val="Heading1"/>
      </w:pPr>
      <w:r>
        <w:t>ADR 05 Farm scoped authorisation</w:t>
      </w:r>
    </w:p>
    <w:tbl>
      <w:tblPr>
        <w:tblW w:type="auto" w:w="0"/>
        <w:jc w:val="center"/>
        <w:tblLayout w:type="fixed"/>
        <w:tblLook w:firstColumn="1" w:firstRow="1" w:lastColumn="0" w:lastRow="0" w:noHBand="0" w:noVBand="1" w:val="04A0"/>
      </w:tblPr>
      <w:tblGrid>
        <w:gridCol w:w="1512"/>
        <w:gridCol w:w="8280"/>
      </w:tblGrid>
      <w:tr>
        <w:trPr>
          <w:tblHeade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20"/>
              </w:rPr>
              <w:t>Field</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20"/>
              </w:rPr>
              <w:t>Architectural decision record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Title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ADR-05 Enforce farm-scoped authorisation at every service boundary</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Status</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Proposed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Context</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ASR19 requires scoped, time-limited access revocable within one minute; ASR26 requires farm isolation. Owners control access, while workers and agronomists need narrower permissions. Trusting caller-supplied farm identifiers or gateway-only checks risks cross-farm disclosure. Separate databases per farm offer stronger physical separation but increase operational cost at 50,000 farms.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Decision</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Use managed OAuth access tokens and service-level authorisation against trusted farm and paddock grants. Restrict repository queries by authorised scope and deny by default. Give grants expiry times and invalidate cached permissions so revocation propagates within one minute. Distinguish owner, worker, agronomist, operations manager, and platform administrator permissions. Platform administration does not automatically grant farm-data access. The prototype substitutes fixed demonstration identities and implements only owner creation and owner-scoped retrieval.</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Consequences</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Scoped checks reduce cross-farm disclosure and support controlled sharing without per-farm database proliferation. Policy enforcement and grant invalidation add complexity and availability dependencies. Authentication alone does not establish authorisation. Missing and inaccessible farms return identical retrieval errors. Prototype fixtures do not validate OAuth, grant revocation, encryption, audit integrity, or production security.</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Compliance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Test permitted and denied farm/paddock access and revocation within one minute. Review repository scoping, validate token controls, and independently assess production isolation.</w:t>
            </w:r>
          </w:p>
        </w:tc>
      </w:tr>
    </w:tbl>
    <w:p>
      <w:r>
        <w:rPr>
          <w:b w:val="0"/>
        </w:rPr>
      </w:r>
    </w:p>
    <w:p>
      <w:r>
        <w:rPr>
          <w:b w:val="0"/>
        </w:rPr>
        <w:t>Traceability: ASR19, ASR26, ASR28; Security driving QA. The referenced ASR identifiers follow the submitted Assignment 2 report.</w:t>
      </w:r>
    </w:p>
    <w:p>
      <w:pPr>
        <w:sectPr>
          <w:footerReference w:type="default" r:id="rId9"/>
          <w:pgSz w:w="11909" w:h="16834"/>
          <w:pgMar w:top="936" w:right="1008" w:bottom="864" w:left="1008" w:header="720" w:footer="720" w:gutter="0"/>
          <w:cols w:space="720"/>
          <w:docGrid w:linePitch="360"/>
        </w:sectPr>
      </w:pPr>
    </w:p>
    <w:p>
      <w:pPr>
        <w:pStyle w:val="Heading1"/>
      </w:pPr>
      <w:r>
        <w:t>Container view</w:t>
      </w:r>
    </w:p>
    <w:p>
      <w:r>
        <w:rPr>
          <w:b/>
        </w:rPr>
        <w:t>Figure 1  OzAgriMate proposed C4 Container Diagram</w:t>
      </w:r>
    </w:p>
    <w:p>
      <w:r>
        <w:drawing>
          <wp:inline xmlns:a="http://schemas.openxmlformats.org/drawingml/2006/main" xmlns:pic="http://schemas.openxmlformats.org/drawingml/2006/picture">
            <wp:extent cx="10524931" cy="8595360"/>
            <wp:docPr id="1" name="Picture 1"/>
            <wp:cNvGraphicFramePr>
              <a:graphicFrameLocks noChangeAspect="1"/>
            </wp:cNvGraphicFramePr>
            <a:graphic>
              <a:graphicData uri="http://schemas.openxmlformats.org/drawingml/2006/picture">
                <pic:pic>
                  <pic:nvPicPr>
                    <pic:cNvPr id="0" name="Container_View.png"/>
                    <pic:cNvPicPr/>
                  </pic:nvPicPr>
                  <pic:blipFill>
                    <a:blip r:embed="rId10"/>
                    <a:stretch>
                      <a:fillRect/>
                    </a:stretch>
                  </pic:blipFill>
                  <pic:spPr>
                    <a:xfrm>
                      <a:off x="0" y="0"/>
                      <a:ext cx="10524931" cy="8595360"/>
                    </a:xfrm>
                    <a:prstGeom prst="rect"/>
                  </pic:spPr>
                </pic:pic>
              </a:graphicData>
            </a:graphic>
          </wp:inline>
        </w:drawing>
      </w:r>
    </w:p>
    <w:p>
      <w:pPr>
        <w:sectPr>
          <w:pgSz w:w="23818" w:h="16834" w:orient="landscape"/>
          <w:pgMar w:top="936" w:right="1008" w:bottom="864" w:left="1008" w:header="720" w:footer="720" w:gutter="0"/>
          <w:cols w:space="720"/>
          <w:docGrid w:linePitch="360"/>
        </w:sectPr>
      </w:pPr>
    </w:p>
    <w:p>
      <w:pPr>
        <w:pStyle w:val="Heading1"/>
      </w:pPr>
      <w:r>
        <w:t>Container responsibilities and interactions</w:t>
      </w:r>
    </w:p>
    <w:p>
      <w:r>
        <w:rPr>
          <w:b w:val="0"/>
        </w:rPr>
        <w:t>The container view distributes responsibilities among coarse-grained services and their stores. It shows applications and data stores, consistent with the C4 container abstraction [1]. The three allocated component views should decompose Farm Management, Telemetry, and Irrigation and Alerts.</w:t>
      </w:r>
    </w:p>
    <w:tbl>
      <w:tblPr>
        <w:tblW w:type="auto" w:w="0"/>
        <w:jc w:val="center"/>
        <w:tblLayout w:type="fixed"/>
        <w:tblLook w:firstColumn="1" w:firstRow="1" w:lastColumn="0" w:lastRow="0" w:noHBand="0" w:noVBand="1" w:val="04A0"/>
      </w:tblPr>
      <w:tblGrid>
        <w:gridCol w:w="2376"/>
        <w:gridCol w:w="7416"/>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9"/>
              </w:rPr>
              <w:t>Container</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9"/>
              </w:rPr>
              <w:t>Responsibility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Farm Management</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Owns farm records and grants; applies farm-scoped access.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Telemetry</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Adapts and validates sensor readings; stores accepted and quarantined records; publishes accepted events.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Irrigation and Alerts</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Owns irrigation requests, approved schedules and alert rules; baseline alerts operate without AI.</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AI Recommendation</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Consumes observations and external evidence; produces advice and provenance without bypassing approval.</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Integration Adapters</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Normalises external feeds, FMIS transfer and consented partner exchanges.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Event Broker and stores</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Provide durable messaging and service-owned storage in the proposed target environment.</w:t>
            </w:r>
          </w:p>
        </w:tc>
      </w:tr>
    </w:tbl>
    <w:p>
      <w:r>
        <w:rPr>
          <w:b w:val="0"/>
        </w:rPr>
      </w:r>
    </w:p>
    <w:p>
      <w:r>
        <w:rPr>
          <w:b w:val="0"/>
        </w:rPr>
        <w:t>Web and mobile applications call the managed API gateway. The edge gateway normalises field data and buffers it during outages. ISOBUS, ADAPT, LoRaWAN and NB-IoT represent different integration layers and require adapters; they are not interchangeable protocols.</w:t>
      </w:r>
    </w:p>
    <w:p>
      <w:r>
        <w:rPr>
          <w:b w:val="0"/>
        </w:rPr>
        <w:t>OAuth identity, trusted grants and service-level checks protect synchronous calls. Managed runtime identities and scoped broker/store permissions protect asynchronous processing and data access. The gateway does not replace authorisation inside each service. Service-owned database partitions must use separate credentials and policies.</w:t>
      </w:r>
    </w:p>
    <w:p>
      <w:r>
        <w:rPr>
          <w:b w:val="0"/>
        </w:rPr>
        <w:t>Accepted-reading and advice events require stable IDs, versioned schemas and idempotent consumers. Suspicious readings require quarantine with reason codes and provenance; they must not silently enter action-triggering flows. Their exact units and thresholds remain a team integration decision.</w:t>
      </w:r>
    </w:p>
    <w:p>
      <w:pPr>
        <w:sectPr>
          <w:pgSz w:w="11909" w:h="16834"/>
          <w:pgMar w:top="936" w:right="1008" w:bottom="864" w:left="1008" w:header="720" w:footer="720" w:gutter="0"/>
          <w:cols w:space="720"/>
          <w:docGrid w:linePitch="360"/>
        </w:sectPr>
      </w:pPr>
    </w:p>
    <w:p>
      <w:pPr>
        <w:pStyle w:val="Heading1"/>
      </w:pPr>
      <w:r>
        <w:t>Deployment view</w:t>
      </w:r>
    </w:p>
    <w:p>
      <w:r>
        <w:rPr>
          <w:b/>
        </w:rPr>
        <w:t>Figure 2  OzAgriMate proposed C4 Deployment Diagram</w:t>
      </w:r>
    </w:p>
    <w:p>
      <w:r>
        <w:drawing>
          <wp:inline xmlns:a="http://schemas.openxmlformats.org/drawingml/2006/main" xmlns:pic="http://schemas.openxmlformats.org/drawingml/2006/picture">
            <wp:extent cx="11530739" cy="8503920"/>
            <wp:docPr id="2" name="Picture 2"/>
            <wp:cNvGraphicFramePr>
              <a:graphicFrameLocks noChangeAspect="1"/>
            </wp:cNvGraphicFramePr>
            <a:graphic>
              <a:graphicData uri="http://schemas.openxmlformats.org/drawingml/2006/picture">
                <pic:pic>
                  <pic:nvPicPr>
                    <pic:cNvPr id="0" name="Deployment_View.png"/>
                    <pic:cNvPicPr/>
                  </pic:nvPicPr>
                  <pic:blipFill>
                    <a:blip r:embed="rId11"/>
                    <a:stretch>
                      <a:fillRect/>
                    </a:stretch>
                  </pic:blipFill>
                  <pic:spPr>
                    <a:xfrm>
                      <a:off x="0" y="0"/>
                      <a:ext cx="11530739" cy="8503920"/>
                    </a:xfrm>
                    <a:prstGeom prst="rect"/>
                  </pic:spPr>
                </pic:pic>
              </a:graphicData>
            </a:graphic>
          </wp:inline>
        </w:drawing>
      </w:r>
    </w:p>
    <w:p>
      <w:pPr>
        <w:sectPr>
          <w:pgSz w:w="23818" w:h="16834" w:orient="landscape"/>
          <w:pgMar w:top="936" w:right="1008" w:bottom="864" w:left="1008" w:header="720" w:footer="720" w:gutter="0"/>
          <w:cols w:space="720"/>
          <w:docGrid w:linePitch="360"/>
        </w:sectPr>
      </w:pPr>
    </w:p>
    <w:p>
      <w:pPr>
        <w:pStyle w:val="Heading1"/>
      </w:pPr>
      <w:r>
        <w:t>Deployment rationale and implementation boundary</w:t>
      </w:r>
    </w:p>
    <w:p>
      <w:r>
        <w:rPr>
          <w:b w:val="0"/>
        </w:rPr>
        <w:t>The deployment view maps service instances to a proposed production environment, following C4 deployment conventions [2]. Two availability zones host independently managed backend instances. Managed messaging and data storage support replication and recovery. Rolling releases require compatible API/event schemas and readiness-based traffic routing.</w:t>
      </w:r>
    </w:p>
    <w:p>
      <w:r>
        <w:rPr>
          <w:b w:val="0"/>
        </w:rPr>
        <w:t>The design places farm data, identity records, telemetry, backups, audit logs and processing in Australian regions to satisfy project constraint C1. Provider capabilities and residency commitments require validation before implementation; this is a project constraint, not a general statement of privacy law.</w:t>
      </w:r>
    </w:p>
    <w:p>
      <w:r>
        <w:rPr>
          <w:b w:val="0"/>
        </w:rPr>
        <w:t>On-farm gateways retain telemetry for 72 hours; irrigation controllers retain the last approved schedule for 48 hours with local limits and overrides. Buffer capacity and reconnect bandwidth must be sized so replay can meet the proposed fifteen-minute synchronisation target. Physical control and offline operation are not demonstrated by the farm API.</w:t>
      </w:r>
    </w:p>
    <w:p>
      <w:r>
        <w:rPr>
          <w:b w:val="0"/>
        </w:rPr>
        <w:t>The recovery design targets a four-hour RTO and fifteen-minute RPO. Backup and replication lag, successful restores and regional failover need measured tests before these targets can be claimed as achieved.</w:t>
      </w:r>
    </w:p>
    <w:p>
      <w:pPr>
        <w:pStyle w:val="Heading1"/>
      </w:pPr>
      <w:r>
        <w:t>Local prototype</w:t>
      </w:r>
    </w:p>
    <w:p>
      <w:r>
        <w:rPr>
          <w:b w:val="0"/>
        </w:rPr>
        <w:t>Farm Management runs as one standard-library Python process at http://127.0.0.1:8001. The HTTP adapter delegates to an application service and then to an in-memory repository. Fixed bearer fixtures represent demonstration identities. Records reset on restart; multiple independent farm processes would not share state.</w:t>
      </w:r>
    </w:p>
    <w:tbl>
      <w:tblPr>
        <w:tblW w:type="auto" w:w="0"/>
        <w:jc w:val="center"/>
        <w:tblLayout w:type="fixed"/>
        <w:tblLook w:firstColumn="1" w:firstRow="1" w:lastColumn="0" w:lastRow="0" w:noHBand="0" w:noVBand="1" w:val="04A0"/>
      </w:tblPr>
      <w:tblGrid>
        <w:gridCol w:w="2376"/>
        <w:gridCol w:w="7416"/>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9"/>
              </w:rPr>
              <w:t>Module</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9"/>
              </w:rPr>
              <w:t>Architectural responsibility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app.py</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HTTP server and composition root</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api.py</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Farm REST Controller and error mapping</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service.py</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Farm Application Service and access decisions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repository.py</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Farm Repository with scoped lookup</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models.py</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Domain types and request validation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security.py</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Demonstration identity adapter</w:t>
            </w:r>
          </w:p>
        </w:tc>
      </w:tr>
    </w:tbl>
    <w:p>
      <w:r>
        <w:rPr>
          <w:b w:val="0"/>
        </w:rPr>
      </w:r>
    </w:p>
    <w:p>
      <w:r>
        <w:rPr>
          <w:b w:val="0"/>
        </w:rPr>
        <w:t>Thomas owns the Farm Management component view. It should match these module boundaries. This contribution does not claim his artefacts have been reviewed or that the other services are implemented.</w:t>
      </w:r>
    </w:p>
    <w:p>
      <w:r>
        <w:br w:type="page"/>
      </w:r>
    </w:p>
    <w:p>
      <w:pPr>
        <w:pStyle w:val="Heading1"/>
      </w:pPr>
      <w:r>
        <w:t>Farm API design</w:t>
      </w:r>
    </w:p>
    <w:p>
      <w:r>
        <w:rPr>
          <w:b w:val="0"/>
        </w:rPr>
        <w:t>Production gateway versioning is proposed as /api/v1 plus the service paths below. The prototype exposes the unprefixed paths. Each endpoint uses JSON; response fields and status codes match the implementation.</w:t>
      </w:r>
    </w:p>
    <w:p>
      <w:pPr>
        <w:pStyle w:val="Heading2"/>
      </w:pPr>
      <w:r>
        <w:t>POST /farms</w:t>
      </w:r>
    </w:p>
    <w:tbl>
      <w:tblPr>
        <w:tblW w:type="auto" w:w="0"/>
        <w:jc w:val="center"/>
        <w:tblLayout w:type="fixed"/>
        <w:tblLook w:firstColumn="1" w:firstRow="1" w:lastColumn="0" w:lastRow="0" w:noHBand="0" w:noVBand="1" w:val="04A0"/>
      </w:tblPr>
      <w:tblGrid>
        <w:gridCol w:w="2160"/>
        <w:gridCol w:w="7632"/>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9"/>
              </w:rPr>
              <w:t>Specification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9"/>
              </w:rPr>
              <w:t>Value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HTTP Method</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POST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Description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Create a farm owned by the authenticated owner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Endpoint URL</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/farms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Sample Request Body</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{"name":"Riverbend Farm","latitude":-36.36,"longitude":145.4,"areaHectares":125.5}</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Sample Response Body</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{"id":"farm-001","name":"Riverbend Farm","latitude":-36.36,"longitude":145.4,"areaHectares":125.5}</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Success status</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201 Created</w:t>
            </w:r>
          </w:p>
        </w:tc>
      </w:tr>
    </w:tbl>
    <w:p>
      <w:r>
        <w:rPr>
          <w:b w:val="0"/>
        </w:rPr>
      </w:r>
    </w:p>
    <w:p>
      <w:pPr>
        <w:pStyle w:val="Heading2"/>
      </w:pPr>
      <w:r>
        <w:t>GET /farms/{farmId}</w:t>
      </w:r>
    </w:p>
    <w:tbl>
      <w:tblPr>
        <w:tblW w:type="auto" w:w="0"/>
        <w:jc w:val="center"/>
        <w:tblLayout w:type="fixed"/>
        <w:tblLook w:firstColumn="1" w:firstRow="1" w:lastColumn="0" w:lastRow="0" w:noHBand="0" w:noVBand="1" w:val="04A0"/>
      </w:tblPr>
      <w:tblGrid>
        <w:gridCol w:w="2160"/>
        <w:gridCol w:w="7632"/>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9"/>
              </w:rPr>
              <w:t>Specification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9"/>
              </w:rPr>
              <w:t>Value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HTTP Method</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GET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Description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Retrieve details of an accessible farm</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Endpoint URL</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/farms/{farmId}</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Sample Request Body</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N/A</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Sample Response Body</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{"id":"farm-001","name":"Riverbend Farm","latitude":-36.36,"longitude":145.4,"areaHectares":125.5}</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Success status</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200 OK</w:t>
            </w:r>
          </w:p>
        </w:tc>
      </w:tr>
    </w:tbl>
    <w:p>
      <w:r>
        <w:rPr>
          <w:b w:val="0"/>
        </w:rPr>
      </w:r>
    </w:p>
    <w:p>
      <w:r>
        <w:rPr>
          <w:b w:val="0"/>
        </w:rPr>
        <w:t>The farm-001 example assumes the first creation after server startup. POST supplies a Location header containing the generated resource path. Consumers should use the returned ID. Duplicate names are allowed; names are trimmed. GET returns the same resource representation.</w:t>
      </w:r>
    </w:p>
    <w:p>
      <w:r>
        <w:br w:type="page"/>
      </w:r>
    </w:p>
    <w:p>
      <w:pPr>
        <w:pStyle w:val="Heading1"/>
      </w:pPr>
      <w:r>
        <w:t>Validation and error behaviour</w:t>
      </w:r>
    </w:p>
    <w:p>
      <w:r>
        <w:rPr>
          <w:b w:val="0"/>
        </w:rPr>
        <w:t>A creation body must contain exactly name, latitude, longitude and areaHectares. Caller-supplied owner fields are rejected; ownership comes from trusted identity. Names must contain 1 to 120 characters after trimming. Coordinates must be finite numbers within latitude -90 to 90 and longitude -180 to 180. Area must be a finite number greater than zero. Boolean, null and numeric-string values are rejected.</w:t>
      </w:r>
    </w:p>
    <w:p>
      <w:r>
        <w:rPr>
          <w:b w:val="0"/>
        </w:rPr>
        <w:t>The demonstration accepts Authorization: Bearer demo-owner-a. The separate demo-owner-b identity cannot retrieve owner A records. demo-worker-a is denied farm creation. Missing and inaccessible farms deliberately return the same retrieval error. Paddock grants, agronomist sharing, token expiry and one-minute revocation are proposed production capabilities rather than completed prototype controls.</w:t>
      </w:r>
    </w:p>
    <w:tbl>
      <w:tblPr>
        <w:tblW w:type="auto" w:w="0"/>
        <w:jc w:val="center"/>
        <w:tblLayout w:type="fixed"/>
        <w:tblLook w:firstColumn="1" w:firstRow="1" w:lastColumn="0" w:lastRow="0" w:noHBand="0" w:noVBand="1" w:val="04A0"/>
      </w:tblPr>
      <w:tblGrid>
        <w:gridCol w:w="792"/>
        <w:gridCol w:w="2952"/>
        <w:gridCol w:w="6048"/>
      </w:tblGrid>
      <w:tr>
        <w:trPr>
          <w:tblHeade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8"/>
              </w:rPr>
              <w:t>Status</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8"/>
              </w:rPr>
              <w:t>Code</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18"/>
              </w:rPr>
              <w:t>Relevant condition</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400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INVALID_JSON</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Malformed UTF-8 JSON or literal NaN/Infinity</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401</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UNAUTHENTICATED</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Missing or invalid demonstration bearer identity</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403</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FORBIDDEN</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Worker attempts farm creation</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404</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FARM_NOT_FOUND</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Farm absent or inaccessible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404</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ROUTE_NOT_FOUND</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Unknown path or malformed route identifier</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405</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METHOD_NOT_ALLOWED</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Unsupported method; Allow header identifies supported method</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413</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BODY_TOO_LARGE</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Body exceeds 65,536 bytes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415</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UNSUPPORTED_MEDIA_TYPE</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Content-Type is not application/json</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422</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VALIDATION_ERROR</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Missing/extra fields or invalid values</w:t>
            </w:r>
          </w:p>
        </w:tc>
      </w:tr>
    </w:tbl>
    <w:p>
      <w:r>
        <w:rPr>
          <w:b w:val="0"/>
        </w:rPr>
      </w:r>
    </w:p>
    <w:p>
      <w:r>
        <w:rPr>
          <w:b w:val="0"/>
        </w:rPr>
        <w:t>Transport handling also rejects invalid lengths, unsupported chunked framing and incomplete bodies; a timed-out body read returns 408. These transport checks supplement the endpoint contract.</w:t>
      </w:r>
    </w:p>
    <w:p>
      <w:r>
        <w:rPr>
          <w:b/>
        </w:rPr>
        <w:t>Error response example:</w:t>
      </w:r>
    </w:p>
    <w:p>
      <w:r>
        <w:rPr>
          <w:b w:val="0"/>
        </w:rPr>
        <w:t>{"error":{"code":"FARM_NOT_FOUND","message":"Farm not found or not accessible."}}</w:t>
      </w:r>
    </w:p>
    <w:p>
      <w:r>
        <w:br w:type="page"/>
      </w:r>
    </w:p>
    <w:p>
      <w:pPr>
        <w:pStyle w:val="Heading1"/>
      </w:pPr>
      <w:r>
        <w:t>Verified Postman execution</w:t>
      </w:r>
    </w:p>
    <w:p>
      <w:r>
        <w:rPr>
          <w:b w:val="0"/>
        </w:rPr>
        <w:t>Pulkit supplied the original screenshot of a completed Postman web run using Desktop Agent against the local farm API. The taskbar date is 23 October 2026 and the run time displayed is 03:11:47 AM. The screenshot records the following result.</w:t>
      </w:r>
    </w:p>
    <w:tbl>
      <w:tblPr>
        <w:tblW w:type="auto" w:w="0"/>
        <w:jc w:val="center"/>
        <w:tblLayout w:type="fixed"/>
        <w:tblLook w:firstColumn="1" w:firstRow="1" w:lastColumn="0" w:lastRow="0" w:noHBand="0" w:noVBand="1" w:val="04A0"/>
      </w:tblPr>
      <w:tblGrid>
        <w:gridCol w:w="4032"/>
        <w:gridCol w:w="5760"/>
      </w:tblGrid>
      <w:tr>
        <w:trPr>
          <w:tblHeade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20"/>
              </w:rPr>
              <w:t>Measure</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pPr>
            <w:r>
              <w:rPr>
                <w:b/>
                <w:sz w:val="20"/>
              </w:rPr>
              <w:t>Observed result</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Request scenarios</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11 across two endpoint operations</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Assertions passed</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33</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Assertions failed / skipped</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 / 0</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Run errors</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Iterations</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Displayed duration</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2 seconds 166 milliseconds</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Displayed average response time</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5 milliseconds</w:t>
            </w:r>
          </w:p>
        </w:tc>
      </w:tr>
    </w:tbl>
    <w:p>
      <w:r>
        <w:rPr>
          <w:b w:val="0"/>
        </w:rPr>
      </w:r>
    </w:p>
    <w:p>
      <w:r>
        <w:rPr>
          <w:b w:val="0"/>
        </w:rPr>
        <w:t>The visible detail confirms creation returned 201 and retrieval returned 200, including a check that the retrieved record matches creation. Cross-owner retrieval returned the expected 404. All listed assertions passed. The collection also includes missing authentication, worker denial, negative area, caller ownership injection, malformed JSON and wrong media type scenarios.</w:t>
      </w:r>
    </w:p>
    <w:p>
      <w:r>
        <w:rPr>
          <w:b w:val="0"/>
        </w:rPr>
        <w:t>The reported latency belongs to one local functional run. It is not evidence of performance under 50,000 farms, seasonal peaks or rural network conditions. Ten earlier HTTP integration tests passed in the assistant environment; their historical verification is separate from this user-run Postman evidence.</w:t>
      </w:r>
    </w:p>
    <w:p>
      <w:r>
        <w:rPr>
          <w:b w:val="0"/>
        </w:rPr>
        <w:t>The original PNG is retained unchanged as evidence/Postman_Run_2026-10-23.png. Evidence_Record.json records its SHA-256 digest and source identifier, allowing later copies to be checked for accidental changes.</w:t>
      </w:r>
    </w:p>
    <w:p>
      <w:r>
        <w:rPr>
          <w:b w:val="0"/>
        </w:rPr>
        <w:t>Screenshot SHA-256: 8923891397fac46ea87ac9f5411d193bdcf8a2fd7b094f6fba91e25d07a95e8f</w:t>
      </w:r>
    </w:p>
    <w:p>
      <w:r>
        <w:rPr>
          <w:b w:val="0"/>
        </w:rPr>
        <w:t>The screenshot is retained separately to preserve its original resolution and avoid reproducing unrelated browser information within the report.</w:t>
      </w:r>
    </w:p>
    <w:p>
      <w:r>
        <w:br w:type="page"/>
      </w:r>
    </w:p>
    <w:p>
      <w:pPr>
        <w:pStyle w:val="Heading1"/>
      </w:pPr>
      <w:r>
        <w:t>References</w:t>
      </w:r>
    </w:p>
    <w:p>
      <w:r>
        <w:rPr>
          <w:b w:val="0"/>
        </w:rPr>
        <w:t>[1] Brown, S. (n.d.). Container diagram. C4 model. https://c4model.com/diagrams/container. Accessed 23 October 2026.</w:t>
      </w:r>
    </w:p>
    <w:p>
      <w:r>
        <w:rPr>
          <w:b w:val="0"/>
        </w:rPr>
        <w:t>[2] Brown, S. (n.d.). Deployment diagram. C4 model. https://c4model.com/diagrams/deployment. Accessed 23 October 2026.</w:t>
      </w:r>
    </w:p>
    <w:p>
      <w:r>
        <w:rPr>
          <w:b w:val="0"/>
        </w:rPr>
        <w:t>[3] Sharma, P., Singh, A., Wight, T., and Shears, B. (2026). OzAgriMate Software Architecture Proposal. Submitted ISYS3459 Assignment 2 report supplied by Pulkit.</w:t>
      </w:r>
    </w:p>
    <w:p>
      <w:r>
        <w:rPr>
          <w:b w:val="0"/>
        </w:rPr>
        <w:t>[4] RMIT University. (2026). ISYS3459 Assignment 4 Software Architecture Project activity instructions, pp. 1-4. Supplied course material.</w:t>
      </w:r>
    </w:p>
    <w:p>
      <w:r>
        <w:rPr>
          <w:b w:val="0"/>
        </w:rPr>
        <w:t>[5] RMIT University. (2026). ADR Template. Supplied course material; template cites Head First Software Architecture (2024) and Fundamentals of Software Architecture (2020).</w:t>
      </w:r>
    </w:p>
    <w:p>
      <w:r>
        <w:rPr>
          <w:b w:val="0"/>
        </w:rPr>
        <w:t>[6] Pulkit Sharma. (2026). Postman farm API run screenshot, 23 October 2026. Original evidence retained with this contribution.</w:t>
      </w:r>
    </w:p>
    <w:sectPr w:rsidR="00FC693F" w:rsidRPr="0006063C" w:rsidSect="00034616">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OzAgriMate Architecture and Farm API</dc:title>
  <dc:subject>ISYS3459 Assignment 4 contribution</dc:subject>
  <dc:creator>Pulkit Sharma</dc:creator>
  <cp:keywords/>
  <dc:description>generated by python-docx</dc:description>
  <cp:lastModifiedBy/>
  <cp:revision>1</cp:revision>
  <dcterms:created xsi:type="dcterms:W3CDTF">2013-12-23T23:15:00Z</dcterms:created>
  <dcterms:modified xsi:type="dcterms:W3CDTF">2013-12-23T23:15:00Z</dcterms:modified>
  <cp:category/>
</cp:coreProperties>
</file>